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0"/>
        <w:jc w:val="left"/>
        <w:rPr>
          <w:rFonts w:hint="default" w:ascii="黑体" w:hAnsi="黑体" w:eastAsia="黑体" w:cs="黑体"/>
          <w:b w:val="0"/>
          <w:bCs w:val="0"/>
          <w:kern w:val="0"/>
          <w:sz w:val="28"/>
          <w:szCs w:val="28"/>
          <w:lang w:val="en-US" w:eastAsia="zh-CN" w:bidi="ar-SA"/>
        </w:rPr>
      </w:pPr>
      <w:r>
        <w:rPr>
          <w:rFonts w:hint="eastAsia" w:ascii="黑体" w:hAnsi="黑体" w:eastAsia="黑体" w:cs="黑体"/>
          <w:b w:val="0"/>
          <w:bCs w:val="0"/>
          <w:kern w:val="0"/>
          <w:sz w:val="28"/>
          <w:szCs w:val="28"/>
          <w:lang w:val="en-US" w:eastAsia="zh-CN" w:bidi="ar-SA"/>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0"/>
        <w:jc w:val="center"/>
        <w:rPr>
          <w:rFonts w:hint="eastAsia" w:ascii="方正小标宋简体" w:hAnsi="华文中宋" w:eastAsia="方正小标宋简体" w:cs="Times New Roman"/>
          <w:b w:val="0"/>
          <w:bCs w:val="0"/>
          <w:kern w:val="2"/>
          <w:sz w:val="44"/>
          <w:szCs w:val="4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0"/>
        <w:jc w:val="center"/>
        <w:rPr>
          <w:rFonts w:hint="eastAsia" w:ascii="方正小标宋简体" w:hAnsi="华文中宋" w:eastAsia="方正小标宋简体" w:cs="Times New Roman"/>
          <w:b w:val="0"/>
          <w:bCs w:val="0"/>
          <w:kern w:val="2"/>
          <w:sz w:val="44"/>
          <w:szCs w:val="44"/>
          <w:lang w:val="en-US" w:eastAsia="zh-CN" w:bidi="ar-SA"/>
        </w:rPr>
      </w:pPr>
      <w:r>
        <w:rPr>
          <w:rFonts w:hint="eastAsia" w:ascii="方正小标宋简体" w:hAnsi="华文中宋" w:eastAsia="方正小标宋简体" w:cs="Times New Roman"/>
          <w:b w:val="0"/>
          <w:bCs w:val="0"/>
          <w:kern w:val="2"/>
          <w:sz w:val="44"/>
          <w:szCs w:val="44"/>
          <w:lang w:val="en-US" w:eastAsia="zh-CN" w:bidi="ar-SA"/>
        </w:rPr>
        <w:t>广州市人民政府办公厅关于印发广州市引进人才入户管理办法的通知</w:t>
      </w:r>
    </w:p>
    <w:p>
      <w:pPr>
        <w:jc w:val="center"/>
        <w:rPr>
          <w:rFonts w:hint="eastAsia"/>
          <w:sz w:val="28"/>
          <w:szCs w:val="36"/>
        </w:rPr>
      </w:pPr>
      <w:r>
        <w:rPr>
          <w:rFonts w:hint="eastAsia" w:ascii="仿宋_GB2312" w:hAnsi="宋体" w:eastAsia="仿宋_GB2312" w:cs="宋体"/>
          <w:color w:val="auto"/>
          <w:kern w:val="0"/>
          <w:sz w:val="32"/>
          <w:szCs w:val="32"/>
        </w:rPr>
        <w:t>穗府办规〔2020〕10号</w:t>
      </w:r>
    </w:p>
    <w:p>
      <w:pPr>
        <w:keepNext w:val="0"/>
        <w:keepLines w:val="0"/>
        <w:pageBreakBefore w:val="0"/>
        <w:kinsoku/>
        <w:wordWrap/>
        <w:overflowPunct/>
        <w:topLinePunct w:val="0"/>
        <w:autoSpaceDE/>
        <w:autoSpaceDN/>
        <w:bidi w:val="0"/>
        <w:snapToGrid/>
        <w:spacing w:line="560" w:lineRule="exact"/>
        <w:jc w:val="left"/>
        <w:textAlignment w:val="auto"/>
        <w:rPr>
          <w:rFonts w:hint="eastAsia" w:ascii="仿宋_GB2312" w:hAnsi="微软雅黑" w:eastAsia="仿宋_GB2312" w:cs="宋体"/>
          <w:color w:val="auto"/>
          <w:kern w:val="0"/>
          <w:sz w:val="32"/>
          <w:szCs w:val="32"/>
        </w:rPr>
      </w:pPr>
    </w:p>
    <w:p>
      <w:pPr>
        <w:keepNext w:val="0"/>
        <w:keepLines w:val="0"/>
        <w:pageBreakBefore w:val="0"/>
        <w:kinsoku/>
        <w:wordWrap/>
        <w:overflowPunct/>
        <w:topLinePunct w:val="0"/>
        <w:autoSpaceDE/>
        <w:autoSpaceDN/>
        <w:bidi w:val="0"/>
        <w:snapToGrid/>
        <w:spacing w:line="560" w:lineRule="exact"/>
        <w:jc w:val="left"/>
        <w:textAlignment w:val="auto"/>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lang w:val="en-US" w:eastAsia="zh-CN"/>
        </w:rPr>
        <w:t>链接：</w:t>
      </w:r>
      <w:r>
        <w:rPr>
          <w:rFonts w:hint="eastAsia" w:ascii="仿宋_GB2312" w:hAnsi="微软雅黑" w:eastAsia="仿宋_GB2312" w:cs="宋体"/>
          <w:color w:val="auto"/>
          <w:kern w:val="0"/>
          <w:sz w:val="32"/>
          <w:szCs w:val="32"/>
        </w:rPr>
        <w:fldChar w:fldCharType="begin"/>
      </w:r>
      <w:r>
        <w:rPr>
          <w:rFonts w:hint="eastAsia" w:ascii="仿宋_GB2312" w:hAnsi="微软雅黑" w:eastAsia="仿宋_GB2312" w:cs="宋体"/>
          <w:color w:val="auto"/>
          <w:kern w:val="0"/>
          <w:sz w:val="32"/>
          <w:szCs w:val="32"/>
        </w:rPr>
        <w:instrText xml:space="preserve"> HYPERLINK "https://www.gz.gov.cn/zwgk/fggw/sfbgtwj/content/post_6454314.html" </w:instrText>
      </w:r>
      <w:r>
        <w:rPr>
          <w:rFonts w:hint="eastAsia" w:ascii="仿宋_GB2312" w:hAnsi="微软雅黑" w:eastAsia="仿宋_GB2312" w:cs="宋体"/>
          <w:color w:val="auto"/>
          <w:kern w:val="0"/>
          <w:sz w:val="32"/>
          <w:szCs w:val="32"/>
        </w:rPr>
        <w:fldChar w:fldCharType="separate"/>
      </w:r>
      <w:r>
        <w:rPr>
          <w:rFonts w:hint="eastAsia" w:ascii="仿宋_GB2312" w:hAnsi="微软雅黑" w:eastAsia="仿宋_GB2312" w:cs="宋体"/>
          <w:color w:val="auto"/>
          <w:kern w:val="0"/>
          <w:sz w:val="32"/>
          <w:szCs w:val="32"/>
        </w:rPr>
        <w:t>https://www.gz.gov.cn/zwgk/fggw/sfbgtwj/content/post_6454314.html</w:t>
      </w:r>
      <w:r>
        <w:rPr>
          <w:rFonts w:hint="eastAsia" w:ascii="仿宋_GB2312" w:hAnsi="微软雅黑" w:eastAsia="仿宋_GB2312" w:cs="宋体"/>
          <w:color w:val="auto"/>
          <w:kern w:val="0"/>
          <w:sz w:val="32"/>
          <w:szCs w:val="32"/>
        </w:rPr>
        <w:fldChar w:fldCharType="end"/>
      </w:r>
    </w:p>
    <w:p>
      <w:pPr>
        <w:rPr>
          <w:rFonts w:hint="eastAsia"/>
          <w:sz w:val="28"/>
          <w:szCs w:val="36"/>
        </w:rPr>
      </w:pPr>
    </w:p>
    <w:p>
      <w:pPr>
        <w:keepNext w:val="0"/>
        <w:keepLines w:val="0"/>
        <w:pageBreakBefore w:val="0"/>
        <w:kinsoku/>
        <w:wordWrap/>
        <w:overflowPunct/>
        <w:topLinePunct w:val="0"/>
        <w:autoSpaceDE/>
        <w:autoSpaceDN/>
        <w:bidi w:val="0"/>
        <w:snapToGrid/>
        <w:spacing w:line="560" w:lineRule="exact"/>
        <w:jc w:val="left"/>
        <w:textAlignment w:val="auto"/>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来源： 广州市人民政</w:t>
      </w:r>
      <w:bookmarkStart w:id="0" w:name="_GoBack"/>
      <w:bookmarkEnd w:id="0"/>
      <w:r>
        <w:rPr>
          <w:rFonts w:hint="eastAsia" w:ascii="仿宋_GB2312" w:hAnsi="微软雅黑" w:eastAsia="仿宋_GB2312" w:cs="宋体"/>
          <w:color w:val="auto"/>
          <w:kern w:val="0"/>
          <w:sz w:val="32"/>
          <w:szCs w:val="32"/>
        </w:rPr>
        <w:t>府办公厅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jMDZkNzYzYmM4NmFiZWJlOGFmMTk2MmU5NTY1NDgifQ=="/>
  </w:docVars>
  <w:rsids>
    <w:rsidRoot w:val="1E9D4AED"/>
    <w:rsid w:val="1E9D4AED"/>
    <w:rsid w:val="555E4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Words>
  <Characters>124</Characters>
  <Lines>0</Lines>
  <Paragraphs>0</Paragraphs>
  <TotalTime>1</TotalTime>
  <ScaleCrop>false</ScaleCrop>
  <LinksUpToDate>false</LinksUpToDate>
  <CharactersWithSpaces>125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2022-10-28T02:44:00Z</dcterms:created>
  <dc:creator>这是你东哥</dc:creator>
  <cp:lastModifiedBy>这是你东哥</cp:lastModifiedBy>
  <dcterms:modified xsi:type="dcterms:W3CDTF">2022-10-28T02:52:16Z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A5CA3DE175C24E65B569C8E5505D056A</vt:lpwstr>
  </property>
</Properties>
</file>