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eastAsia="黑体" w:cs="Times New Roman"/>
          <w:spacing w:val="-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2"/>
          <w:sz w:val="32"/>
          <w:szCs w:val="32"/>
          <w:lang w:val="en" w:eastAsia="zh-CN"/>
        </w:rPr>
        <w:t>附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  <w:lang w:val="en" w:eastAsia="zh-CN"/>
        </w:rPr>
        <w:t>件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 w:cs="Calibri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Calibri"/>
          <w:bCs/>
          <w:kern w:val="0"/>
          <w:sz w:val="44"/>
          <w:szCs w:val="44"/>
        </w:rPr>
        <w:t>工伤保险行业风险分类表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 w:cs="Calibri"/>
          <w:bCs/>
          <w:kern w:val="0"/>
          <w:sz w:val="24"/>
        </w:rPr>
      </w:pPr>
    </w:p>
    <w:tbl>
      <w:tblPr>
        <w:tblStyle w:val="3"/>
        <w:tblW w:w="90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tblHeader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行业类别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行业名称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软件和信息技术服务业，货币金融服务，资本市场服务，保险业，其他金融业，科技推广和应用服务业，社会工作，广播、电视、电影和影视录音制作业，中国共产党机关，国家机构，人民政协、民主党派，社会保障，群众团体、社会团体和其他成员组织，基层群众自治组织，国际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农副食品加工业，食品制造业，酒、饮料和精制茶制造业，烟草制品业 ，纺织业，木材加工和木、竹、藤、棕、草制品业，文教、工美、体育和娱乐用品制造业，计算机、通信和其他电子设备制造业，仪器仪表制造业，其他制造业,水的生产和供应业，机动车、电子产品和日用产品修理业，水利管理业，生态保护和环境治理业，公共设施管理业，娱乐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造业，电气机械和器材制造业，废弃资源综合利用业，金属制品、机械和设备修理业，电力、热力生产和供应业，燃气生产和供应业，铁路运输业，航空运输业，管道运输业，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七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石油和天然气开采业，其他采矿业，石油加工、炼焦和核燃料加工业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八</w:t>
            </w:r>
          </w:p>
        </w:tc>
        <w:tc>
          <w:tcPr>
            <w:tcW w:w="7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煤炭开采和洗选业，黑色金属矿采选业，有色金属矿采选业，非金属矿采选业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2024-04-17T06:24:14Z</dcterms:created>
  <cp:lastModifiedBy>郑晓闲</cp:lastModifiedBy>
  <dcterms:modified xsi:type="dcterms:W3CDTF">2024-04-17T06:24:45Z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198572E8932E435BA3F0A8F6515A90FF</vt:lpwstr>
  </property>
</Properties>
</file>