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color w:val="auto"/>
          <w:sz w:val="32"/>
          <w:szCs w:val="32"/>
          <w:highlight w:val="none"/>
          <w:lang w:eastAsia="zh-CN"/>
        </w:rPr>
      </w:pPr>
      <w:bookmarkStart w:id="261" w:name="_GoBack"/>
      <w:bookmarkEnd w:id="261"/>
      <w:r>
        <w:rPr>
          <w:rFonts w:hint="eastAsia" w:ascii="黑体" w:hAnsi="黑体" w:eastAsia="黑体" w:cs="黑体"/>
          <w:b w:val="0"/>
          <w:bCs/>
          <w:color w:val="auto"/>
          <w:sz w:val="32"/>
          <w:szCs w:val="32"/>
          <w:highlight w:val="none"/>
          <w:lang w:eastAsia="zh-CN"/>
        </w:rPr>
        <w:t>附件</w:t>
      </w:r>
    </w:p>
    <w:p>
      <w:pPr>
        <w:pStyle w:val="2"/>
        <w:rPr>
          <w:rFonts w:hint="eastAsia" w:ascii="黑体" w:hAnsi="黑体" w:eastAsia="黑体" w:cs="黑体"/>
          <w:b w:val="0"/>
          <w:bCs/>
          <w:color w:val="auto"/>
          <w:sz w:val="32"/>
          <w:szCs w:val="32"/>
          <w:highlight w:val="none"/>
          <w:lang w:eastAsia="zh-CN"/>
        </w:rPr>
      </w:pPr>
    </w:p>
    <w:p>
      <w:pPr>
        <w:pStyle w:val="2"/>
        <w:rPr>
          <w:rFonts w:hint="eastAsia" w:ascii="黑体" w:hAnsi="黑体" w:eastAsia="黑体" w:cs="黑体"/>
          <w:b w:val="0"/>
          <w:bCs/>
          <w:color w:val="auto"/>
          <w:sz w:val="32"/>
          <w:szCs w:val="32"/>
          <w:highlight w:val="none"/>
          <w:lang w:eastAsia="zh-CN"/>
        </w:rPr>
      </w:pPr>
    </w:p>
    <w:p>
      <w:pPr>
        <w:topLinePunct w:val="0"/>
        <w:bidi w:val="0"/>
        <w:spacing w:line="360" w:lineRule="auto"/>
        <w:jc w:val="center"/>
        <w:textAlignment w:val="auto"/>
        <w:rPr>
          <w:rFonts w:hint="eastAsia" w:ascii="方正小标宋简体" w:hAnsi="方正小标宋简体" w:eastAsia="方正小标宋简体" w:cs="方正小标宋简体"/>
          <w:b w:val="0"/>
          <w:bCs/>
          <w:color w:val="auto"/>
          <w:spacing w:val="40"/>
          <w:sz w:val="84"/>
          <w:szCs w:val="84"/>
          <w:highlight w:val="none"/>
        </w:rPr>
      </w:pPr>
      <w:r>
        <w:rPr>
          <w:rFonts w:hint="eastAsia" w:ascii="方正小标宋简体" w:hAnsi="方正小标宋简体" w:eastAsia="方正小标宋简体" w:cs="方正小标宋简体"/>
          <w:b w:val="0"/>
          <w:bCs/>
          <w:color w:val="auto"/>
          <w:spacing w:val="40"/>
          <w:sz w:val="84"/>
          <w:szCs w:val="84"/>
          <w:highlight w:val="none"/>
        </w:rPr>
        <w:t>招标文件</w:t>
      </w:r>
      <w:bookmarkStart w:id="0" w:name="_Toc37663365"/>
      <w:bookmarkStart w:id="1" w:name="_Toc37581393"/>
      <w:bookmarkStart w:id="2" w:name="_Toc37331055"/>
      <w:bookmarkStart w:id="3" w:name="_Toc37331012"/>
      <w:bookmarkStart w:id="4" w:name="_Toc37245250"/>
      <w:bookmarkStart w:id="5" w:name="_Toc37569493"/>
      <w:bookmarkStart w:id="6" w:name="_Toc38947771"/>
    </w:p>
    <w:p>
      <w:pPr>
        <w:topLinePunct w:val="0"/>
        <w:bidi w:val="0"/>
        <w:spacing w:line="360" w:lineRule="auto"/>
        <w:textAlignment w:val="auto"/>
        <w:rPr>
          <w:rFonts w:hint="eastAsia" w:ascii="宋体" w:hAnsi="宋体"/>
          <w:color w:val="auto"/>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ind w:firstLine="527" w:firstLineChars="164"/>
        <w:textAlignment w:val="auto"/>
        <w:rPr>
          <w:rFonts w:hint="eastAsia" w:ascii="宋体" w:hAnsi="宋体" w:cs="Arial"/>
          <w:b/>
          <w:color w:val="auto"/>
          <w:sz w:val="32"/>
          <w:szCs w:val="32"/>
          <w:highlight w:val="none"/>
        </w:rPr>
      </w:pPr>
    </w:p>
    <w:p>
      <w:pPr>
        <w:topLinePunct w:val="0"/>
        <w:bidi w:val="0"/>
        <w:spacing w:line="360" w:lineRule="auto"/>
        <w:ind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项目名称：2022年第一批广州市事业单位人员网上学习</w:t>
      </w:r>
    </w:p>
    <w:p>
      <w:pPr>
        <w:topLinePunct w:val="0"/>
        <w:bidi w:val="0"/>
        <w:spacing w:line="360" w:lineRule="auto"/>
        <w:ind w:firstLine="2249" w:firstLineChars="700"/>
        <w:jc w:val="left"/>
        <w:textAlignment w:val="auto"/>
        <w:rPr>
          <w:rFonts w:hint="eastAsia"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平台课程资源采购</w:t>
      </w:r>
      <w:r>
        <w:rPr>
          <w:rFonts w:hint="eastAsia" w:ascii="Times New Roman" w:hAnsi="Times New Roman" w:eastAsia="仿宋_GB2312" w:cs="Times New Roman"/>
          <w:b/>
          <w:color w:val="auto"/>
          <w:sz w:val="32"/>
          <w:szCs w:val="32"/>
          <w:highlight w:val="none"/>
          <w:lang w:eastAsia="zh-CN"/>
        </w:rPr>
        <w:t>项目</w:t>
      </w:r>
    </w:p>
    <w:p>
      <w:pPr>
        <w:topLinePunct w:val="0"/>
        <w:bidi w:val="0"/>
        <w:spacing w:line="360" w:lineRule="auto"/>
        <w:ind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项目类别：</w:t>
      </w:r>
      <w:bookmarkStart w:id="7" w:name="EBf723cc5b9fe946a79c6eb6f832428da8"/>
      <w:r>
        <w:rPr>
          <w:rFonts w:hint="eastAsia" w:ascii="Times New Roman" w:hAnsi="Times New Roman" w:eastAsia="仿宋_GB2312" w:cs="Times New Roman"/>
          <w:b/>
          <w:color w:val="auto"/>
          <w:sz w:val="32"/>
          <w:szCs w:val="32"/>
          <w:highlight w:val="none"/>
          <w:lang w:eastAsia="zh-CN"/>
        </w:rPr>
        <w:t>服务</w:t>
      </w:r>
      <w:r>
        <w:rPr>
          <w:rFonts w:hint="default" w:ascii="Times New Roman" w:hAnsi="Times New Roman" w:eastAsia="仿宋_GB2312" w:cs="Times New Roman"/>
          <w:b/>
          <w:color w:val="auto"/>
          <w:sz w:val="32"/>
          <w:szCs w:val="32"/>
          <w:highlight w:val="none"/>
        </w:rPr>
        <w:t>类</w:t>
      </w:r>
      <w:bookmarkEnd w:id="7"/>
    </w:p>
    <w:bookmarkEnd w:id="0"/>
    <w:bookmarkEnd w:id="1"/>
    <w:bookmarkEnd w:id="2"/>
    <w:bookmarkEnd w:id="3"/>
    <w:bookmarkEnd w:id="4"/>
    <w:bookmarkEnd w:id="5"/>
    <w:bookmarkEnd w:id="6"/>
    <w:p>
      <w:pPr>
        <w:topLinePunct w:val="0"/>
        <w:bidi w:val="0"/>
        <w:spacing w:line="360" w:lineRule="auto"/>
        <w:ind w:firstLine="524" w:firstLineChars="164"/>
        <w:textAlignment w:val="auto"/>
        <w:rPr>
          <w:rFonts w:hint="eastAsia" w:ascii="宋体" w:hAnsi="宋体" w:cs="Arial"/>
          <w:color w:val="auto"/>
          <w:sz w:val="32"/>
          <w:highlight w:val="none"/>
        </w:rPr>
      </w:pPr>
    </w:p>
    <w:p>
      <w:pPr>
        <w:pStyle w:val="2"/>
        <w:rPr>
          <w:rFonts w:hint="eastAsia" w:ascii="宋体" w:hAnsi="宋体" w:cs="Arial"/>
          <w:color w:val="auto"/>
          <w:sz w:val="32"/>
          <w:highlight w:val="none"/>
        </w:rPr>
      </w:pPr>
    </w:p>
    <w:p>
      <w:pPr>
        <w:pStyle w:val="2"/>
        <w:rPr>
          <w:rFonts w:hint="eastAsia" w:ascii="宋体" w:hAnsi="宋体" w:cs="Arial"/>
          <w:color w:val="auto"/>
          <w:sz w:val="32"/>
          <w:highlight w:val="none"/>
        </w:rPr>
      </w:pPr>
    </w:p>
    <w:p>
      <w:pPr>
        <w:pStyle w:val="2"/>
        <w:jc w:val="center"/>
        <w:rPr>
          <w:rFonts w:hint="default" w:ascii="Times New Roman" w:hAnsi="Times New Roman" w:eastAsia="仿宋_GB2312" w:cs="Times New Roman"/>
          <w:b/>
          <w:bCs/>
          <w:color w:val="auto"/>
          <w:sz w:val="32"/>
          <w:highlight w:val="none"/>
          <w:lang w:eastAsia="zh-CN"/>
        </w:rPr>
      </w:pPr>
      <w:r>
        <w:rPr>
          <w:rFonts w:hint="default" w:ascii="Times New Roman" w:hAnsi="Times New Roman" w:eastAsia="仿宋_GB2312" w:cs="Times New Roman"/>
          <w:b/>
          <w:bCs/>
          <w:color w:val="auto"/>
          <w:sz w:val="32"/>
          <w:highlight w:val="none"/>
          <w:lang w:eastAsia="zh-CN"/>
        </w:rPr>
        <w:t>广州市人事服务中心</w:t>
      </w:r>
    </w:p>
    <w:p>
      <w:pPr>
        <w:pStyle w:val="2"/>
        <w:jc w:val="center"/>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2022年</w:t>
      </w:r>
      <w:r>
        <w:rPr>
          <w:rFonts w:hint="eastAsia" w:ascii="Times New Roman" w:hAnsi="Times New Roman" w:eastAsia="仿宋_GB2312" w:cs="Times New Roman"/>
          <w:b/>
          <w:bCs/>
          <w:color w:val="auto"/>
          <w:sz w:val="32"/>
          <w:highlight w:val="none"/>
          <w:lang w:val="en-US" w:eastAsia="zh-CN"/>
        </w:rPr>
        <w:t>9</w:t>
      </w:r>
      <w:r>
        <w:rPr>
          <w:rFonts w:hint="default" w:ascii="Times New Roman" w:hAnsi="Times New Roman" w:eastAsia="仿宋_GB2312" w:cs="Times New Roman"/>
          <w:b/>
          <w:bCs/>
          <w:color w:val="auto"/>
          <w:sz w:val="32"/>
          <w:highlight w:val="none"/>
          <w:lang w:val="en-US" w:eastAsia="zh-CN"/>
        </w:rPr>
        <w:t>月</w:t>
      </w:r>
    </w:p>
    <w:p>
      <w:pPr>
        <w:topLinePunct w:val="0"/>
        <w:bidi w:val="0"/>
        <w:spacing w:line="360" w:lineRule="auto"/>
        <w:textAlignment w:val="auto"/>
        <w:rPr>
          <w:rFonts w:hint="eastAsia" w:ascii="宋体" w:hAnsi="宋体"/>
          <w:color w:val="auto"/>
          <w:sz w:val="28"/>
          <w:szCs w:val="28"/>
          <w:highlight w:val="none"/>
        </w:rPr>
      </w:pPr>
      <w:bookmarkStart w:id="8" w:name="EBd97a963d55784ea39a922f2c677e005e"/>
      <w:r>
        <w:rPr>
          <w:rFonts w:hint="eastAsia" w:ascii="宋体" w:hAnsi="宋体"/>
          <w:color w:val="auto"/>
          <w:sz w:val="28"/>
          <w:szCs w:val="28"/>
          <w:highlight w:val="none"/>
        </w:rPr>
        <w:t xml:space="preserve"> </w:t>
      </w:r>
      <w:bookmarkEnd w:id="8"/>
    </w:p>
    <w:p>
      <w:pPr>
        <w:topLinePunct w:val="0"/>
        <w:bidi w:val="0"/>
        <w:spacing w:line="360" w:lineRule="auto"/>
        <w:jc w:val="center"/>
        <w:textAlignment w:val="auto"/>
        <w:rPr>
          <w:rFonts w:hint="eastAsia" w:ascii="宋体" w:hAnsi="宋体"/>
          <w:b/>
          <w:color w:val="auto"/>
          <w:sz w:val="36"/>
          <w:szCs w:val="36"/>
          <w:highlight w:val="none"/>
        </w:rPr>
        <w:sectPr>
          <w:pgSz w:w="11906" w:h="16838"/>
          <w:pgMar w:top="1440" w:right="1800" w:bottom="1440" w:left="1800" w:header="851" w:footer="992" w:gutter="0"/>
          <w:cols w:space="425" w:num="1"/>
          <w:docGrid w:type="lines" w:linePitch="312" w:charSpace="0"/>
        </w:sectPr>
      </w:pPr>
    </w:p>
    <w:p>
      <w:pPr>
        <w:topLinePunct w:val="0"/>
        <w:bidi w:val="0"/>
        <w:spacing w:line="360" w:lineRule="auto"/>
        <w:jc w:val="center"/>
        <w:textAlignment w:val="auto"/>
        <w:rPr>
          <w:rFonts w:hint="eastAsia" w:ascii="宋体" w:hAnsi="宋体" w:cs="Arial"/>
          <w:b/>
          <w:color w:val="auto"/>
          <w:sz w:val="32"/>
          <w:highlight w:val="none"/>
        </w:rPr>
      </w:pPr>
      <w:r>
        <w:rPr>
          <w:rFonts w:hint="eastAsia" w:ascii="宋体" w:hAnsi="宋体"/>
          <w:b/>
          <w:color w:val="auto"/>
          <w:sz w:val="36"/>
          <w:szCs w:val="36"/>
          <w:highlight w:val="none"/>
        </w:rPr>
        <w:t>温馨提示：供应商投标特别注意事项</w:t>
      </w:r>
    </w:p>
    <w:p>
      <w:pPr>
        <w:topLinePunct w:val="0"/>
        <w:bidi w:val="0"/>
        <w:spacing w:line="360" w:lineRule="auto"/>
        <w:jc w:val="center"/>
        <w:textAlignment w:val="auto"/>
        <w:rPr>
          <w:rFonts w:hint="eastAsia" w:ascii="宋体" w:hAnsi="宋体"/>
          <w:color w:val="auto"/>
          <w:sz w:val="36"/>
          <w:szCs w:val="36"/>
          <w:highlight w:val="none"/>
        </w:rPr>
      </w:pPr>
    </w:p>
    <w:p>
      <w:pPr>
        <w:numPr>
          <w:ilvl w:val="0"/>
          <w:numId w:val="2"/>
        </w:numPr>
        <w:tabs>
          <w:tab w:val="left" w:pos="0"/>
          <w:tab w:val="left" w:pos="1080"/>
        </w:tabs>
        <w:topLinePunct w:val="0"/>
        <w:bidi w:val="0"/>
        <w:spacing w:line="360" w:lineRule="auto"/>
        <w:ind w:left="0" w:firstLine="435"/>
        <w:textAlignment w:val="auto"/>
        <w:rPr>
          <w:rFonts w:hint="eastAsia" w:ascii="宋体" w:hAnsi="宋体"/>
          <w:color w:val="auto"/>
          <w:highlight w:val="none"/>
        </w:rPr>
      </w:pPr>
      <w:r>
        <w:rPr>
          <w:rFonts w:hint="eastAsia" w:ascii="宋体" w:hAnsi="宋体"/>
          <w:b/>
          <w:color w:val="auto"/>
          <w:sz w:val="24"/>
          <w:szCs w:val="24"/>
          <w:highlight w:val="none"/>
        </w:rPr>
        <w:t>加★号的条款</w:t>
      </w:r>
      <w:r>
        <w:rPr>
          <w:rFonts w:hint="eastAsia" w:ascii="宋体" w:hAnsi="宋体"/>
          <w:b/>
          <w:bCs/>
          <w:color w:val="auto"/>
          <w:sz w:val="24"/>
          <w:szCs w:val="24"/>
          <w:highlight w:val="none"/>
        </w:rPr>
        <w:t>均被视为重要的指标要求，</w:t>
      </w:r>
      <w:r>
        <w:rPr>
          <w:rFonts w:hint="eastAsia" w:ascii="宋体" w:hAnsi="宋体"/>
          <w:b/>
          <w:color w:val="auto"/>
          <w:sz w:val="24"/>
          <w:szCs w:val="24"/>
          <w:highlight w:val="none"/>
        </w:rPr>
        <w:t>必须一一响应。</w:t>
      </w:r>
      <w:r>
        <w:rPr>
          <w:rFonts w:hint="eastAsia" w:ascii="宋体" w:hAnsi="宋体"/>
          <w:b/>
          <w:bCs/>
          <w:color w:val="auto"/>
          <w:sz w:val="24"/>
          <w:szCs w:val="24"/>
          <w:highlight w:val="none"/>
        </w:rPr>
        <w:t>若有一项带“★”的指标要求未响应或不满足，将按投标无效处理</w:t>
      </w:r>
      <w:r>
        <w:rPr>
          <w:rFonts w:hint="eastAsia" w:ascii="宋体" w:hAnsi="宋体"/>
          <w:color w:val="auto"/>
          <w:sz w:val="24"/>
          <w:szCs w:val="24"/>
          <w:highlight w:val="none"/>
        </w:rPr>
        <w:t>。</w:t>
      </w:r>
      <w:bookmarkStart w:id="9" w:name="EB394ea9e147404fce8e85ca8fdec960ca"/>
      <w:r>
        <w:rPr>
          <w:rFonts w:hint="eastAsia" w:ascii="宋体" w:hAnsi="宋体"/>
          <w:color w:val="auto"/>
          <w:sz w:val="20"/>
          <w:szCs w:val="24"/>
          <w:highlight w:val="none"/>
        </w:rPr>
        <w:t xml:space="preserve"> </w:t>
      </w:r>
      <w:bookmarkEnd w:id="9"/>
      <w:bookmarkStart w:id="10" w:name="EBe3d0b9e683374ecfabb47893c61f98d3"/>
      <w:r>
        <w:rPr>
          <w:rFonts w:hint="eastAsia" w:ascii="宋体" w:hAnsi="宋体"/>
          <w:color w:val="auto"/>
          <w:highlight w:val="none"/>
        </w:rPr>
        <w:t xml:space="preserve"> </w:t>
      </w:r>
      <w:bookmarkEnd w:id="10"/>
      <w:r>
        <w:rPr>
          <w:rFonts w:hint="eastAsia" w:ascii="宋体" w:hAnsi="宋体"/>
          <w:color w:val="auto"/>
          <w:highlight w:val="none"/>
        </w:rPr>
        <w:t xml:space="preserve"> </w:t>
      </w:r>
    </w:p>
    <w:p>
      <w:pPr>
        <w:numPr>
          <w:ilvl w:val="0"/>
          <w:numId w:val="2"/>
        </w:numPr>
        <w:tabs>
          <w:tab w:val="left" w:pos="0"/>
          <w:tab w:val="left" w:pos="1080"/>
        </w:tabs>
        <w:topLinePunct w:val="0"/>
        <w:bidi w:val="0"/>
        <w:spacing w:line="360" w:lineRule="auto"/>
        <w:ind w:left="0" w:firstLine="420"/>
        <w:textAlignment w:val="auto"/>
        <w:rPr>
          <w:rStyle w:val="20"/>
          <w:rFonts w:ascii="宋体" w:hAnsi="宋体"/>
          <w:color w:val="auto"/>
          <w:sz w:val="24"/>
          <w:szCs w:val="24"/>
          <w:highlight w:val="none"/>
        </w:rPr>
      </w:pPr>
      <w:r>
        <w:rPr>
          <w:rStyle w:val="20"/>
          <w:rFonts w:hint="eastAsia" w:ascii="宋体" w:hAnsi="宋体"/>
          <w:color w:val="auto"/>
          <w:sz w:val="24"/>
          <w:szCs w:val="24"/>
          <w:highlight w:val="none"/>
        </w:rPr>
        <w:t>对可接受分公司投标的项目，分公司投标的，需提供具有法人资格的总公司的营业执照扫描件及授权书</w:t>
      </w:r>
      <w:r>
        <w:rPr>
          <w:rStyle w:val="20"/>
          <w:rFonts w:hint="eastAsia" w:ascii="宋体" w:hAnsi="宋体"/>
          <w:b w:val="0"/>
          <w:bCs w:val="0"/>
          <w:color w:val="auto"/>
          <w:sz w:val="24"/>
          <w:szCs w:val="24"/>
          <w:highlight w:val="none"/>
        </w:rPr>
        <w:t>，授权书须加盖总公司公章。</w:t>
      </w:r>
      <w:r>
        <w:rPr>
          <w:rStyle w:val="20"/>
          <w:rFonts w:hint="eastAsia" w:ascii="宋体" w:hAnsi="宋体"/>
          <w:color w:val="auto"/>
          <w:sz w:val="24"/>
          <w:szCs w:val="24"/>
          <w:highlight w:val="none"/>
        </w:rPr>
        <w:t>总公司可就本项目或此类项目在一定范围或时间内出具授权书。已由总公司授权的，总公司取得的相关资质证书对分公司有效，法律法规或者行业另有规定的除外。</w:t>
      </w:r>
    </w:p>
    <w:p>
      <w:pPr>
        <w:numPr>
          <w:ilvl w:val="0"/>
          <w:numId w:val="2"/>
        </w:numPr>
        <w:tabs>
          <w:tab w:val="left" w:pos="0"/>
          <w:tab w:val="left" w:pos="1080"/>
        </w:tabs>
        <w:topLinePunct w:val="0"/>
        <w:bidi w:val="0"/>
        <w:spacing w:line="360" w:lineRule="auto"/>
        <w:ind w:left="0" w:firstLine="420"/>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不接受联合体投标，否则将视为无效投标处理。</w:t>
      </w:r>
    </w:p>
    <w:p>
      <w:pPr>
        <w:numPr>
          <w:ilvl w:val="0"/>
          <w:numId w:val="2"/>
        </w:numPr>
        <w:tabs>
          <w:tab w:val="left" w:pos="0"/>
          <w:tab w:val="left" w:pos="1080"/>
        </w:tabs>
        <w:topLinePunct w:val="0"/>
        <w:bidi w:val="0"/>
        <w:spacing w:line="360" w:lineRule="auto"/>
        <w:ind w:left="0" w:firstLine="420"/>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评标委员会评标时，对供应商部分信息直接取自供应商在人事中心登记的信息，请供应商及时维护、更新企业库的信息，确保其有效性。</w:t>
      </w:r>
    </w:p>
    <w:p>
      <w:pPr>
        <w:numPr>
          <w:ilvl w:val="0"/>
          <w:numId w:val="2"/>
        </w:numPr>
        <w:tabs>
          <w:tab w:val="left" w:pos="0"/>
          <w:tab w:val="left" w:pos="1080"/>
        </w:tabs>
        <w:topLinePunct w:val="0"/>
        <w:bidi w:val="0"/>
        <w:spacing w:line="360" w:lineRule="auto"/>
        <w:ind w:left="0" w:firstLine="420"/>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供应商一旦依法被确认为中标、成交供应商，其投标（响应）文件中的相关内容（主要中标或者成交标的的名称、规格型号、数量、单价、服务要求等），将会随中标、成交结果公告一并发布在采购信息发布网上，接受社会监督。</w:t>
      </w:r>
    </w:p>
    <w:p>
      <w:pPr>
        <w:tabs>
          <w:tab w:val="left" w:pos="0"/>
          <w:tab w:val="left" w:pos="1080"/>
        </w:tabs>
        <w:topLinePunct w:val="0"/>
        <w:bidi w:val="0"/>
        <w:spacing w:line="360" w:lineRule="auto"/>
        <w:ind w:left="420"/>
        <w:textAlignment w:val="auto"/>
        <w:rPr>
          <w:rStyle w:val="20"/>
          <w:rFonts w:hint="eastAsia" w:ascii="宋体" w:hAnsi="宋体"/>
          <w:color w:val="auto"/>
          <w:sz w:val="24"/>
          <w:szCs w:val="24"/>
          <w:highlight w:val="none"/>
        </w:rPr>
      </w:pPr>
    </w:p>
    <w:p>
      <w:pPr>
        <w:topLinePunct w:val="0"/>
        <w:bidi w:val="0"/>
        <w:spacing w:line="360" w:lineRule="auto"/>
        <w:textAlignment w:val="auto"/>
        <w:rPr>
          <w:rFonts w:hint="default"/>
          <w:lang w:val="en-US" w:eastAsia="zh-CN"/>
        </w:rPr>
      </w:pPr>
      <w:r>
        <w:rPr>
          <w:rFonts w:hint="default"/>
          <w:lang w:val="en-US" w:eastAsia="zh-CN"/>
        </w:rPr>
        <w:br w:type="page"/>
      </w:r>
    </w:p>
    <w:p>
      <w:pPr>
        <w:pStyle w:val="2"/>
        <w:keepNext w:val="0"/>
        <w:keepLines w:val="0"/>
        <w:pageBreakBefore w:val="0"/>
        <w:widowControl w:val="0"/>
        <w:kinsoku w:val="0"/>
        <w:wordWrap/>
        <w:overflowPunct w:val="0"/>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2022年第一批广州市事业单位人员网上学习平台</w:t>
      </w:r>
    </w:p>
    <w:p>
      <w:pPr>
        <w:pStyle w:val="2"/>
        <w:keepNext w:val="0"/>
        <w:keepLines w:val="0"/>
        <w:pageBreakBefore w:val="0"/>
        <w:widowControl w:val="0"/>
        <w:kinsoku w:val="0"/>
        <w:wordWrap/>
        <w:overflowPunct w:val="0"/>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val="en-US" w:eastAsia="zh-CN"/>
        </w:rPr>
        <w:t>课程资源采购项目</w:t>
      </w:r>
      <w:r>
        <w:rPr>
          <w:rFonts w:hint="eastAsia" w:ascii="方正小标宋简体" w:hAnsi="方正小标宋简体" w:eastAsia="方正小标宋简体" w:cs="方正小标宋简体"/>
          <w:color w:val="auto"/>
          <w:sz w:val="44"/>
          <w:szCs w:val="44"/>
          <w:highlight w:val="none"/>
        </w:rPr>
        <w:t>招标公告</w:t>
      </w:r>
    </w:p>
    <w:p>
      <w:pPr>
        <w:topLinePunct w:val="0"/>
        <w:bidi w:val="0"/>
        <w:spacing w:line="360" w:lineRule="auto"/>
        <w:ind w:firstLine="540" w:firstLineChars="225"/>
        <w:textAlignment w:val="auto"/>
        <w:rPr>
          <w:rFonts w:hint="eastAsia" w:ascii="宋体" w:hAnsi="宋体"/>
          <w:color w:val="auto"/>
          <w:sz w:val="24"/>
          <w:szCs w:val="24"/>
          <w:highlight w:val="none"/>
        </w:rPr>
      </w:pP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一、招标项目简介</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（一）项目名称：2022年第一批广州市事业单位人员网上学习平台课程资源采购项目。</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（二）项目类别：服务类。</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（三）采购预算（最高限价）：人民币</w:t>
      </w:r>
      <w:r>
        <w:rPr>
          <w:rFonts w:hint="eastAsia" w:ascii="宋体" w:hAnsi="宋体"/>
          <w:b w:val="0"/>
          <w:bCs/>
          <w:color w:val="auto"/>
          <w:sz w:val="24"/>
          <w:szCs w:val="24"/>
          <w:highlight w:val="none"/>
          <w:lang w:val="en-US" w:eastAsia="zh-CN"/>
        </w:rPr>
        <w:t>40</w:t>
      </w:r>
      <w:r>
        <w:rPr>
          <w:rFonts w:hint="eastAsia" w:ascii="宋体" w:hAnsi="宋体"/>
          <w:b w:val="0"/>
          <w:bCs/>
          <w:color w:val="auto"/>
          <w:sz w:val="24"/>
          <w:szCs w:val="24"/>
          <w:highlight w:val="none"/>
        </w:rPr>
        <w:t xml:space="preserve">万元。 </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（四）采购内容及需求: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1.标的名称、数量及服务需求详见第二章“采购人需求”；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2.合同履行期限：2022年9月</w:t>
      </w:r>
      <w:r>
        <w:rPr>
          <w:rFonts w:hint="eastAsia" w:ascii="宋体" w:hAnsi="宋体"/>
          <w:b w:val="0"/>
          <w:bCs/>
          <w:color w:val="auto"/>
          <w:sz w:val="24"/>
          <w:szCs w:val="24"/>
          <w:highlight w:val="none"/>
          <w:lang w:val="en-US" w:eastAsia="zh-CN"/>
        </w:rPr>
        <w:t>28</w:t>
      </w:r>
      <w:r>
        <w:rPr>
          <w:rFonts w:hint="eastAsia" w:ascii="宋体" w:hAnsi="宋体"/>
          <w:b w:val="0"/>
          <w:bCs/>
          <w:color w:val="auto"/>
          <w:sz w:val="24"/>
          <w:szCs w:val="24"/>
          <w:highlight w:val="none"/>
        </w:rPr>
        <w:t>日前完成项目服务工作。</w:t>
      </w:r>
    </w:p>
    <w:p>
      <w:pPr>
        <w:pStyle w:val="2"/>
        <w:rPr>
          <w:rFonts w:hint="default" w:eastAsiaTheme="minorEastAsia"/>
          <w:highlight w:val="none"/>
          <w:lang w:val="en-US" w:eastAsia="zh-CN"/>
        </w:rPr>
      </w:pPr>
      <w:r>
        <w:rPr>
          <w:rFonts w:hint="eastAsia" w:ascii="宋体" w:hAnsi="宋体"/>
          <w:b w:val="0"/>
          <w:bCs/>
          <w:color w:val="auto"/>
          <w:sz w:val="24"/>
          <w:szCs w:val="24"/>
          <w:highlight w:val="none"/>
          <w:lang w:val="en-US" w:eastAsia="zh-CN"/>
        </w:rPr>
        <w:t>3.质保期：自合同签订之日起12个月。</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二、投标人资格要求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（一）投标人须为中华人民共和国境内注册合法运作的企业法人或其他组织。</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（二）已办理报名手续的投标人。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（三）投标人没有处于被责令停业或破产状态，且资产未被重组、接管和冻结，声明在投标活动中3年内没有重大违法活动和涉嫌违规行为。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（四）投标人承诺遵守采购人提出的保密要求。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（五）非联合体投标。</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三、招标文件公示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自本公告发布之日起</w:t>
      </w:r>
      <w:r>
        <w:rPr>
          <w:rFonts w:hint="eastAsia" w:ascii="宋体" w:hAnsi="宋体"/>
          <w:b w:val="0"/>
          <w:bCs/>
          <w:color w:val="auto"/>
          <w:sz w:val="24"/>
          <w:szCs w:val="24"/>
          <w:highlight w:val="none"/>
          <w:lang w:val="en-US" w:eastAsia="zh-CN"/>
        </w:rPr>
        <w:t>5</w:t>
      </w:r>
      <w:r>
        <w:rPr>
          <w:rFonts w:hint="eastAsia" w:ascii="宋体" w:hAnsi="宋体"/>
          <w:b w:val="0"/>
          <w:bCs/>
          <w:color w:val="auto"/>
          <w:sz w:val="24"/>
          <w:szCs w:val="24"/>
          <w:highlight w:val="none"/>
        </w:rPr>
        <w:t>个工作日。</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四、报名及</w:t>
      </w:r>
      <w:r>
        <w:rPr>
          <w:rFonts w:hint="eastAsia" w:ascii="宋体" w:hAnsi="宋体"/>
          <w:b/>
          <w:bCs w:val="0"/>
          <w:color w:val="auto"/>
          <w:sz w:val="24"/>
          <w:szCs w:val="24"/>
          <w:highlight w:val="none"/>
          <w:lang w:eastAsia="zh-CN"/>
        </w:rPr>
        <w:t>获取</w:t>
      </w:r>
      <w:r>
        <w:rPr>
          <w:rFonts w:hint="eastAsia" w:ascii="宋体" w:hAnsi="宋体"/>
          <w:b/>
          <w:bCs w:val="0"/>
          <w:color w:val="auto"/>
          <w:sz w:val="24"/>
          <w:szCs w:val="24"/>
          <w:highlight w:val="none"/>
        </w:rPr>
        <w:t>招标文件</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（一）投标报名时间：2022年</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7</w:t>
      </w:r>
      <w:r>
        <w:rPr>
          <w:rFonts w:hint="eastAsia" w:ascii="宋体" w:hAnsi="宋体"/>
          <w:b w:val="0"/>
          <w:bCs/>
          <w:color w:val="auto"/>
          <w:sz w:val="24"/>
          <w:szCs w:val="24"/>
          <w:highlight w:val="none"/>
        </w:rPr>
        <w:t>日至2022年</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14</w:t>
      </w:r>
      <w:r>
        <w:rPr>
          <w:rFonts w:hint="eastAsia" w:ascii="宋体" w:hAnsi="宋体"/>
          <w:b w:val="0"/>
          <w:bCs/>
          <w:color w:val="auto"/>
          <w:sz w:val="24"/>
          <w:szCs w:val="24"/>
          <w:highlight w:val="none"/>
        </w:rPr>
        <w:t>日，每天上午9:00至12:00，下午14:00至17:00（北京时间，法定节假日除外）</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（二）获取招标文件方式：自行在本公告附件内下载。</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（三）投标报名方法：现场报名或者联系采购方办理报名事宜。</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五、踏勘现场及招标答疑会</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 本项目不需要踏勘现场。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 本项目不需要现场招标答疑会。</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六、递交投</w:t>
      </w:r>
      <w:r>
        <w:rPr>
          <w:rFonts w:hint="eastAsia" w:ascii="宋体" w:hAnsi="宋体"/>
          <w:b/>
          <w:bCs w:val="0"/>
          <w:color w:val="auto"/>
          <w:sz w:val="24"/>
          <w:szCs w:val="24"/>
          <w:highlight w:val="none"/>
          <w:lang w:eastAsia="zh-CN"/>
        </w:rPr>
        <w:t>标资料</w:t>
      </w:r>
    </w:p>
    <w:p>
      <w:pPr>
        <w:topLinePunct w:val="0"/>
        <w:bidi w:val="0"/>
        <w:spacing w:line="360" w:lineRule="auto"/>
        <w:textAlignment w:val="auto"/>
        <w:rPr>
          <w:rFonts w:hint="eastAsia" w:ascii="宋体" w:hAnsi="宋体" w:eastAsia="宋体"/>
          <w:b w:val="0"/>
          <w:bCs/>
          <w:color w:val="auto"/>
          <w:sz w:val="24"/>
          <w:szCs w:val="24"/>
          <w:highlight w:val="none"/>
          <w:lang w:eastAsia="zh-CN"/>
        </w:rPr>
      </w:pPr>
      <w:r>
        <w:rPr>
          <w:rFonts w:hint="eastAsia" w:ascii="宋体" w:hAnsi="宋体"/>
          <w:b w:val="0"/>
          <w:bCs/>
          <w:color w:val="auto"/>
          <w:sz w:val="24"/>
          <w:szCs w:val="24"/>
          <w:highlight w:val="none"/>
        </w:rPr>
        <w:t>（一）</w:t>
      </w:r>
      <w:r>
        <w:rPr>
          <w:rFonts w:hint="eastAsia" w:ascii="宋体" w:hAnsi="宋体"/>
          <w:b w:val="0"/>
          <w:bCs/>
          <w:color w:val="auto"/>
          <w:sz w:val="24"/>
          <w:szCs w:val="24"/>
          <w:highlight w:val="none"/>
          <w:lang w:eastAsia="zh-CN"/>
        </w:rPr>
        <w:t>投标资料纸质版及电子文档版（</w:t>
      </w:r>
      <w:r>
        <w:rPr>
          <w:rFonts w:hint="eastAsia" w:ascii="宋体" w:hAnsi="宋体"/>
          <w:b w:val="0"/>
          <w:bCs/>
          <w:color w:val="auto"/>
          <w:sz w:val="24"/>
          <w:szCs w:val="24"/>
          <w:highlight w:val="none"/>
          <w:lang w:val="en-US" w:eastAsia="zh-CN"/>
        </w:rPr>
        <w:t>U盘</w:t>
      </w:r>
      <w:r>
        <w:rPr>
          <w:rFonts w:hint="eastAsia" w:ascii="宋体" w:hAnsi="宋体"/>
          <w:b w:val="0"/>
          <w:bCs/>
          <w:color w:val="auto"/>
          <w:sz w:val="24"/>
          <w:szCs w:val="24"/>
          <w:highlight w:val="none"/>
          <w:lang w:eastAsia="zh-CN"/>
        </w:rPr>
        <w:t>）</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lang w:eastAsia="zh-CN"/>
        </w:rPr>
        <w:t>（二）</w:t>
      </w:r>
      <w:r>
        <w:rPr>
          <w:rFonts w:hint="eastAsia" w:ascii="宋体" w:hAnsi="宋体"/>
          <w:b w:val="0"/>
          <w:bCs/>
          <w:color w:val="auto"/>
          <w:sz w:val="24"/>
          <w:szCs w:val="24"/>
          <w:highlight w:val="none"/>
        </w:rPr>
        <w:t>递交投标文件方式：现场递交或者邮寄。</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eastAsia="zh-CN"/>
        </w:rPr>
        <w:t>三</w:t>
      </w:r>
      <w:r>
        <w:rPr>
          <w:rFonts w:hint="eastAsia" w:ascii="宋体" w:hAnsi="宋体"/>
          <w:b w:val="0"/>
          <w:bCs/>
          <w:color w:val="auto"/>
          <w:sz w:val="24"/>
          <w:szCs w:val="24"/>
          <w:highlight w:val="none"/>
        </w:rPr>
        <w:t>）递交投标文件截止时间和开标时间：2022年</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21</w:t>
      </w:r>
      <w:r>
        <w:rPr>
          <w:rFonts w:hint="eastAsia" w:ascii="宋体" w:hAnsi="宋体"/>
          <w:b w:val="0"/>
          <w:bCs/>
          <w:color w:val="auto"/>
          <w:sz w:val="24"/>
          <w:szCs w:val="24"/>
          <w:highlight w:val="none"/>
        </w:rPr>
        <w:t>日下午17:00（北京时间）。</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w:t>
      </w:r>
      <w:r>
        <w:rPr>
          <w:rFonts w:hint="eastAsia" w:ascii="宋体" w:hAnsi="宋体"/>
          <w:b w:val="0"/>
          <w:bCs/>
          <w:color w:val="auto"/>
          <w:sz w:val="24"/>
          <w:szCs w:val="24"/>
          <w:highlight w:val="none"/>
          <w:lang w:eastAsia="zh-CN"/>
        </w:rPr>
        <w:t>四</w:t>
      </w:r>
      <w:r>
        <w:rPr>
          <w:rFonts w:hint="eastAsia" w:ascii="宋体" w:hAnsi="宋体"/>
          <w:b w:val="0"/>
          <w:bCs/>
          <w:color w:val="auto"/>
          <w:sz w:val="24"/>
          <w:szCs w:val="24"/>
          <w:highlight w:val="none"/>
        </w:rPr>
        <w:t>）开标地点：广州市越秀区小北路266号北秀大厦7楼。</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七、采购信息发布及结果公告网站</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广州市人力资源和社会保障局官网上公布，并视为有效送达。</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八、采购人名称、地址和联系方式</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（一）采购人名称：广州市人事服务中心。</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（二）采购人地址：广州市越秀区小北路266号北秀大厦</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楼</w:t>
      </w:r>
      <w:r>
        <w:rPr>
          <w:rFonts w:hint="eastAsia" w:ascii="宋体" w:hAnsi="宋体"/>
          <w:b w:val="0"/>
          <w:bCs/>
          <w:color w:val="auto"/>
          <w:sz w:val="24"/>
          <w:szCs w:val="24"/>
          <w:highlight w:val="none"/>
          <w:lang w:val="en-US" w:eastAsia="zh-CN"/>
        </w:rPr>
        <w:t>906室</w:t>
      </w:r>
      <w:r>
        <w:rPr>
          <w:rFonts w:hint="eastAsia" w:ascii="宋体" w:hAnsi="宋体"/>
          <w:b w:val="0"/>
          <w:bCs/>
          <w:color w:val="auto"/>
          <w:sz w:val="24"/>
          <w:szCs w:val="24"/>
          <w:highlight w:val="none"/>
        </w:rPr>
        <w:t>。</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（三）联 系 人：</w:t>
      </w:r>
      <w:r>
        <w:rPr>
          <w:rFonts w:hint="eastAsia" w:ascii="宋体" w:hAnsi="宋体"/>
          <w:b w:val="0"/>
          <w:bCs/>
          <w:color w:val="auto"/>
          <w:sz w:val="24"/>
          <w:szCs w:val="24"/>
          <w:highlight w:val="none"/>
          <w:lang w:eastAsia="zh-CN"/>
        </w:rPr>
        <w:t>梁</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lang w:eastAsia="zh-CN"/>
        </w:rPr>
        <w:t>倩</w:t>
      </w:r>
      <w:r>
        <w:rPr>
          <w:rFonts w:hint="eastAsia" w:ascii="宋体" w:hAnsi="宋体"/>
          <w:b w:val="0"/>
          <w:bCs/>
          <w:color w:val="auto"/>
          <w:sz w:val="24"/>
          <w:szCs w:val="24"/>
          <w:highlight w:val="none"/>
        </w:rPr>
        <w:t>，联系电话：(020)8355</w:t>
      </w:r>
      <w:r>
        <w:rPr>
          <w:rFonts w:hint="eastAsia" w:ascii="宋体" w:hAnsi="宋体"/>
          <w:b w:val="0"/>
          <w:bCs/>
          <w:color w:val="auto"/>
          <w:sz w:val="24"/>
          <w:szCs w:val="24"/>
          <w:highlight w:val="none"/>
          <w:lang w:val="en-US" w:eastAsia="zh-CN"/>
        </w:rPr>
        <w:t>2756</w:t>
      </w:r>
      <w:r>
        <w:rPr>
          <w:rFonts w:hint="eastAsia" w:ascii="宋体" w:hAnsi="宋体"/>
          <w:b w:val="0"/>
          <w:bCs/>
          <w:color w:val="auto"/>
          <w:sz w:val="24"/>
          <w:szCs w:val="24"/>
          <w:highlight w:val="none"/>
        </w:rPr>
        <w:t>。</w:t>
      </w:r>
    </w:p>
    <w:p>
      <w:pPr>
        <w:topLinePunct w:val="0"/>
        <w:bidi w:val="0"/>
        <w:spacing w:line="360" w:lineRule="auto"/>
        <w:textAlignment w:val="auto"/>
        <w:rPr>
          <w:rFonts w:hint="eastAsia" w:ascii="宋体" w:hAnsi="宋体"/>
          <w:b w:val="0"/>
          <w:bCs/>
          <w:color w:val="auto"/>
          <w:sz w:val="24"/>
          <w:szCs w:val="24"/>
          <w:highlight w:val="none"/>
        </w:rPr>
      </w:pPr>
    </w:p>
    <w:p>
      <w:pPr>
        <w:topLinePunct w:val="0"/>
        <w:bidi w:val="0"/>
        <w:spacing w:line="360" w:lineRule="auto"/>
        <w:ind w:firstLine="480" w:firstLineChars="200"/>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附件：2022年第一批广州市事业单位人员网上学习平台课程资源采购项目招标文件</w:t>
      </w:r>
    </w:p>
    <w:p>
      <w:pPr>
        <w:topLinePunct w:val="0"/>
        <w:bidi w:val="0"/>
        <w:spacing w:line="360" w:lineRule="auto"/>
        <w:textAlignment w:val="auto"/>
        <w:rPr>
          <w:rFonts w:hint="eastAsia" w:ascii="宋体" w:hAnsi="宋体"/>
          <w:b w:val="0"/>
          <w:bCs/>
          <w:color w:val="auto"/>
          <w:sz w:val="24"/>
          <w:szCs w:val="24"/>
          <w:highlight w:val="none"/>
        </w:rPr>
      </w:pPr>
    </w:p>
    <w:p>
      <w:pPr>
        <w:topLinePunct w:val="0"/>
        <w:bidi w:val="0"/>
        <w:spacing w:line="360" w:lineRule="auto"/>
        <w:textAlignment w:val="auto"/>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             </w:t>
      </w:r>
    </w:p>
    <w:p>
      <w:pPr>
        <w:topLinePunct w:val="0"/>
        <w:bidi w:val="0"/>
        <w:spacing w:line="360" w:lineRule="auto"/>
        <w:ind w:firstLine="4560" w:firstLineChars="1900"/>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发布人：广州市人事服务中心</w:t>
      </w:r>
    </w:p>
    <w:p>
      <w:pPr>
        <w:topLinePunct w:val="0"/>
        <w:bidi w:val="0"/>
        <w:spacing w:line="360" w:lineRule="auto"/>
        <w:ind w:firstLine="4560" w:firstLineChars="1900"/>
        <w:textAlignment w:val="auto"/>
        <w:rPr>
          <w:rFonts w:hint="eastAsia" w:ascii="宋体" w:hAnsi="宋体"/>
          <w:b/>
          <w:bCs/>
          <w:color w:val="auto"/>
          <w:sz w:val="24"/>
          <w:szCs w:val="24"/>
          <w:highlight w:val="yellow"/>
        </w:rPr>
      </w:pPr>
      <w:r>
        <w:rPr>
          <w:rFonts w:hint="eastAsia" w:ascii="宋体" w:hAnsi="宋体"/>
          <w:b w:val="0"/>
          <w:bCs/>
          <w:color w:val="auto"/>
          <w:sz w:val="24"/>
          <w:szCs w:val="24"/>
          <w:highlight w:val="none"/>
        </w:rPr>
        <w:t>发布时间：2022年</w:t>
      </w:r>
      <w:r>
        <w:rPr>
          <w:rFonts w:hint="eastAsia" w:ascii="宋体" w:hAnsi="宋体"/>
          <w:b w:val="0"/>
          <w:bCs/>
          <w:color w:val="auto"/>
          <w:sz w:val="24"/>
          <w:szCs w:val="24"/>
          <w:highlight w:val="none"/>
          <w:lang w:val="en-US" w:eastAsia="zh-CN"/>
        </w:rPr>
        <w:t>9</w:t>
      </w:r>
      <w:r>
        <w:rPr>
          <w:rFonts w:hint="eastAsia" w:ascii="宋体" w:hAnsi="宋体"/>
          <w:b w:val="0"/>
          <w:bCs/>
          <w:color w:val="auto"/>
          <w:sz w:val="24"/>
          <w:szCs w:val="24"/>
          <w:highlight w:val="none"/>
        </w:rPr>
        <w:t>月</w:t>
      </w:r>
      <w:r>
        <w:rPr>
          <w:rFonts w:hint="eastAsia" w:ascii="宋体" w:hAnsi="宋体"/>
          <w:b w:val="0"/>
          <w:bCs/>
          <w:color w:val="auto"/>
          <w:sz w:val="24"/>
          <w:szCs w:val="24"/>
          <w:highlight w:val="none"/>
          <w:lang w:val="en-US" w:eastAsia="zh-CN"/>
        </w:rPr>
        <w:t>6</w:t>
      </w:r>
      <w:r>
        <w:rPr>
          <w:rFonts w:hint="eastAsia" w:ascii="宋体" w:hAnsi="宋体"/>
          <w:b w:val="0"/>
          <w:bCs/>
          <w:color w:val="auto"/>
          <w:sz w:val="24"/>
          <w:szCs w:val="24"/>
          <w:highlight w:val="none"/>
        </w:rPr>
        <w:t>日</w:t>
      </w:r>
      <w:r>
        <w:rPr>
          <w:rFonts w:hint="eastAsia" w:ascii="宋体" w:hAnsi="宋体"/>
          <w:b w:val="0"/>
          <w:bCs/>
          <w:color w:val="auto"/>
          <w:sz w:val="24"/>
          <w:szCs w:val="24"/>
          <w:highlight w:val="yellow"/>
        </w:rPr>
        <w:br w:type="page"/>
      </w:r>
    </w:p>
    <w:p>
      <w:pPr>
        <w:pStyle w:val="3"/>
        <w:topLinePunct w:val="0"/>
        <w:bidi w:val="0"/>
        <w:spacing w:before="200" w:after="200" w:line="360" w:lineRule="auto"/>
        <w:jc w:val="center"/>
        <w:textAlignment w:val="auto"/>
        <w:rPr>
          <w:rFonts w:hint="eastAsia" w:ascii="宋体" w:hAnsi="宋体"/>
          <w:color w:val="auto"/>
          <w:sz w:val="44"/>
          <w:szCs w:val="44"/>
          <w:highlight w:val="none"/>
        </w:rPr>
      </w:pPr>
      <w:bookmarkStart w:id="11" w:name="_Toc98579049"/>
      <w:bookmarkStart w:id="12" w:name="_Toc42313150"/>
      <w:bookmarkStart w:id="13" w:name="_Toc98579590"/>
      <w:bookmarkStart w:id="14" w:name="_Toc101843108"/>
      <w:bookmarkStart w:id="15" w:name="_Toc41884682"/>
      <w:bookmarkStart w:id="16" w:name="_Toc42394652"/>
      <w:bookmarkStart w:id="17" w:name="_Toc42394495"/>
      <w:bookmarkStart w:id="18" w:name="_Toc101771355"/>
      <w:bookmarkStart w:id="19" w:name="_Toc98580273"/>
      <w:bookmarkStart w:id="20" w:name="_Toc101951241"/>
      <w:bookmarkStart w:id="21" w:name="_Toc175644385"/>
      <w:bookmarkStart w:id="22" w:name="_Toc46308679"/>
      <w:bookmarkStart w:id="23" w:name="_Toc41723912"/>
      <w:bookmarkStart w:id="24" w:name="_Toc403491560"/>
      <w:bookmarkStart w:id="25" w:name="_Toc46308523"/>
      <w:bookmarkStart w:id="26" w:name="_Toc101775108"/>
      <w:bookmarkStart w:id="27" w:name="_Toc98035084"/>
      <w:bookmarkStart w:id="28" w:name="_Toc401575138"/>
      <w:bookmarkStart w:id="29" w:name="_Toc98578991"/>
      <w:r>
        <w:rPr>
          <w:rFonts w:hint="eastAsia" w:ascii="宋体" w:hAnsi="宋体"/>
          <w:color w:val="auto"/>
          <w:sz w:val="44"/>
          <w:szCs w:val="44"/>
          <w:highlight w:val="none"/>
        </w:rPr>
        <w:t>第一章 投标人须知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topLinePunct w:val="0"/>
        <w:bidi w:val="0"/>
        <w:spacing w:line="360" w:lineRule="auto"/>
        <w:textAlignment w:val="auto"/>
        <w:rPr>
          <w:rFonts w:hint="eastAsia" w:ascii="宋体" w:hAnsi="宋体"/>
          <w:color w:val="auto"/>
          <w:highlight w:val="none"/>
        </w:rPr>
      </w:pPr>
      <w:bookmarkStart w:id="30" w:name="EBd50defe0b06d4c358e13084b59f90fc0"/>
      <w:r>
        <w:rPr>
          <w:rFonts w:hint="eastAsia" w:ascii="宋体" w:hAnsi="宋体"/>
          <w:color w:val="auto"/>
          <w:sz w:val="20"/>
          <w:highlight w:val="none"/>
        </w:rPr>
        <w:t xml:space="preserve"> </w:t>
      </w:r>
      <w:bookmarkEnd w:id="30"/>
      <w:bookmarkStart w:id="31" w:name="EB02eb95036b1c4da192e06ff199745ecb"/>
      <w:r>
        <w:rPr>
          <w:rFonts w:hint="eastAsia" w:ascii="宋体" w:hAnsi="宋体"/>
          <w:color w:val="auto"/>
          <w:sz w:val="20"/>
          <w:highlight w:val="none"/>
        </w:rPr>
        <w:t xml:space="preserve"> </w:t>
      </w:r>
      <w:bookmarkEnd w:id="31"/>
    </w:p>
    <w:p>
      <w:pPr>
        <w:pageBreakBefore w:val="0"/>
        <w:widowControl w:val="0"/>
        <w:kinsoku/>
        <w:wordWrap/>
        <w:overflowPunct/>
        <w:topLinePunct w:val="0"/>
        <w:bidi w:val="0"/>
        <w:spacing w:after="156" w:afterLines="50" w:line="360" w:lineRule="auto"/>
        <w:ind w:firstLine="424" w:firstLineChars="177"/>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pPr>
        <w:pStyle w:val="4"/>
        <w:pageBreakBefore w:val="0"/>
        <w:widowControl w:val="0"/>
        <w:numPr>
          <w:ilvl w:val="0"/>
          <w:numId w:val="3"/>
        </w:numPr>
        <w:kinsoku/>
        <w:wordWrap/>
        <w:overflowPunct/>
        <w:topLinePunct w:val="0"/>
        <w:bidi w:val="0"/>
        <w:spacing w:line="360" w:lineRule="auto"/>
        <w:ind w:left="567" w:hanging="27"/>
        <w:jc w:val="both"/>
        <w:textAlignment w:val="auto"/>
        <w:rPr>
          <w:rFonts w:hint="eastAsia" w:hAnsi="宋体"/>
          <w:b/>
          <w:color w:val="auto"/>
          <w:sz w:val="24"/>
          <w:szCs w:val="24"/>
          <w:highlight w:val="none"/>
        </w:rPr>
      </w:pPr>
      <w:bookmarkStart w:id="32" w:name="_Toc273255343"/>
      <w:bookmarkStart w:id="33" w:name="_Toc403491561"/>
      <w:bookmarkStart w:id="34" w:name="_Toc401575139"/>
      <w:bookmarkStart w:id="35" w:name="_Toc324867172"/>
      <w:bookmarkStart w:id="36" w:name="_Toc119321124"/>
      <w:bookmarkStart w:id="37" w:name="_Toc136682889"/>
      <w:bookmarkStart w:id="38" w:name="_Toc390699896"/>
      <w:bookmarkStart w:id="39" w:name="_Toc136662913"/>
      <w:bookmarkStart w:id="40" w:name="_Toc159385048"/>
      <w:r>
        <w:rPr>
          <w:rFonts w:hint="eastAsia" w:hAnsi="宋体"/>
          <w:b/>
          <w:color w:val="auto"/>
          <w:sz w:val="24"/>
          <w:szCs w:val="24"/>
          <w:highlight w:val="none"/>
        </w:rPr>
        <w:t>名词解释</w:t>
      </w:r>
      <w:bookmarkEnd w:id="32"/>
      <w:bookmarkEnd w:id="33"/>
      <w:bookmarkEnd w:id="34"/>
      <w:bookmarkEnd w:id="35"/>
      <w:bookmarkEnd w:id="36"/>
      <w:bookmarkEnd w:id="37"/>
      <w:bookmarkEnd w:id="38"/>
      <w:bookmarkEnd w:id="39"/>
      <w:bookmarkEnd w:id="40"/>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采购人：是指</w:t>
      </w:r>
      <w:r>
        <w:rPr>
          <w:rFonts w:hint="eastAsia" w:hAnsi="宋体"/>
          <w:color w:val="auto"/>
          <w:sz w:val="24"/>
          <w:szCs w:val="24"/>
          <w:highlight w:val="none"/>
          <w:lang w:eastAsia="zh-CN"/>
        </w:rPr>
        <w:t>广州市人事服务中心</w:t>
      </w:r>
      <w:r>
        <w:rPr>
          <w:rFonts w:hint="eastAsia" w:hAnsi="宋体"/>
          <w:color w:val="auto"/>
          <w:sz w:val="24"/>
          <w:szCs w:val="24"/>
          <w:highlight w:val="none"/>
        </w:rPr>
        <w:t>，是采购活动当事人之一，负责项目的整体规划、技术方案可行性设计论证与实施，作为合同采购方(用户)的主体承担质疑回复、履行合同、验收与评价等义务。</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投标人：是指报名参加投标并提交投标文件的供应商。</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招标文件：是指包括招标公告和招标文件及其补充、变更和澄清等一系列文件。</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ascii="宋体" w:hAnsi="宋体" w:eastAsia="宋体" w:cs="宋体"/>
          <w:color w:val="auto"/>
          <w:kern w:val="2"/>
          <w:sz w:val="24"/>
          <w:szCs w:val="24"/>
          <w:highlight w:val="none"/>
          <w:lang w:val="en-US" w:eastAsia="zh-CN" w:bidi="ar-SA"/>
        </w:rPr>
      </w:pPr>
      <w:r>
        <w:rPr>
          <w:rFonts w:hint="eastAsia" w:hAnsi="宋体"/>
          <w:color w:val="auto"/>
          <w:sz w:val="24"/>
          <w:szCs w:val="24"/>
          <w:highlight w:val="none"/>
        </w:rPr>
        <w:t>日期、天数、时间：未有特别说明时，均为公历日（天）及北京时间。</w:t>
      </w:r>
      <w:bookmarkStart w:id="41" w:name="_Toc175644386"/>
      <w:bookmarkStart w:id="42" w:name="_Toc401575140"/>
      <w:bookmarkStart w:id="43" w:name="_Toc403491562"/>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采购信息发布网站：广州市人力资源和社会保障局官网上公布，并视为有效送达。</w:t>
      </w:r>
    </w:p>
    <w:p>
      <w:pPr>
        <w:pStyle w:val="6"/>
        <w:topLinePunct w:val="0"/>
        <w:bidi w:val="0"/>
        <w:spacing w:line="360" w:lineRule="auto"/>
        <w:textAlignment w:val="auto"/>
        <w:rPr>
          <w:color w:val="auto"/>
          <w:highlight w:val="none"/>
        </w:rPr>
      </w:pPr>
    </w:p>
    <w:p>
      <w:pPr>
        <w:pStyle w:val="4"/>
        <w:numPr>
          <w:ilvl w:val="0"/>
          <w:numId w:val="3"/>
        </w:numPr>
        <w:topLinePunct w:val="0"/>
        <w:bidi w:val="0"/>
        <w:spacing w:line="360" w:lineRule="auto"/>
        <w:ind w:left="567" w:hanging="27"/>
        <w:jc w:val="both"/>
        <w:textAlignment w:val="auto"/>
        <w:rPr>
          <w:rFonts w:hint="eastAsia" w:hAnsi="宋体"/>
          <w:b/>
          <w:color w:val="auto"/>
          <w:sz w:val="24"/>
          <w:szCs w:val="24"/>
          <w:highlight w:val="none"/>
        </w:rPr>
      </w:pPr>
      <w:r>
        <w:rPr>
          <w:rFonts w:hint="eastAsia" w:hAnsi="宋体"/>
          <w:b/>
          <w:color w:val="auto"/>
          <w:sz w:val="24"/>
          <w:szCs w:val="24"/>
          <w:highlight w:val="none"/>
        </w:rPr>
        <w:t>一般要求</w:t>
      </w:r>
      <w:bookmarkEnd w:id="41"/>
      <w:bookmarkEnd w:id="42"/>
      <w:bookmarkEnd w:id="43"/>
    </w:p>
    <w:p>
      <w:pPr>
        <w:pStyle w:val="5"/>
        <w:numPr>
          <w:ilvl w:val="1"/>
          <w:numId w:val="3"/>
        </w:numPr>
        <w:tabs>
          <w:tab w:val="clear" w:pos="851"/>
        </w:tabs>
        <w:topLinePunct w:val="0"/>
        <w:bidi w:val="0"/>
        <w:spacing w:line="360" w:lineRule="auto"/>
        <w:ind w:left="1134" w:hanging="709"/>
        <w:textAlignment w:val="auto"/>
        <w:rPr>
          <w:rFonts w:hint="eastAsia" w:hAnsi="宋体"/>
          <w:b/>
          <w:color w:val="auto"/>
          <w:sz w:val="24"/>
          <w:szCs w:val="24"/>
          <w:highlight w:val="none"/>
        </w:rPr>
      </w:pPr>
      <w:bookmarkStart w:id="44" w:name="_Toc42394659"/>
      <w:bookmarkStart w:id="45" w:name="_Toc101951246"/>
      <w:bookmarkStart w:id="46" w:name="_Toc98578997"/>
      <w:bookmarkStart w:id="47" w:name="_Toc42313157"/>
      <w:bookmarkStart w:id="48" w:name="_Toc98580279"/>
      <w:bookmarkStart w:id="49" w:name="_Toc101771360"/>
      <w:bookmarkStart w:id="50" w:name="_Toc50276143"/>
      <w:bookmarkStart w:id="51" w:name="_Toc98579055"/>
      <w:bookmarkStart w:id="52" w:name="_Toc101775113"/>
      <w:bookmarkStart w:id="53" w:name="_Toc98579596"/>
      <w:bookmarkStart w:id="54" w:name="_Toc134956120"/>
      <w:bookmarkStart w:id="55" w:name="_Toc101843113"/>
      <w:bookmarkStart w:id="56" w:name="_Toc42394502"/>
      <w:r>
        <w:rPr>
          <w:rFonts w:hint="eastAsia" w:hAnsi="宋体"/>
          <w:b/>
          <w:color w:val="auto"/>
          <w:sz w:val="24"/>
          <w:szCs w:val="24"/>
          <w:highlight w:val="none"/>
        </w:rPr>
        <w:t>招标文件的澄清和修改</w:t>
      </w:r>
      <w:bookmarkEnd w:id="44"/>
      <w:bookmarkEnd w:id="45"/>
      <w:bookmarkEnd w:id="46"/>
      <w:bookmarkEnd w:id="47"/>
      <w:bookmarkEnd w:id="48"/>
      <w:bookmarkEnd w:id="49"/>
      <w:bookmarkEnd w:id="50"/>
      <w:bookmarkEnd w:id="51"/>
      <w:bookmarkEnd w:id="52"/>
      <w:bookmarkEnd w:id="53"/>
      <w:bookmarkEnd w:id="54"/>
      <w:bookmarkEnd w:id="55"/>
      <w:bookmarkEnd w:id="56"/>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s="Arial"/>
          <w:color w:val="auto"/>
          <w:sz w:val="24"/>
          <w:szCs w:val="24"/>
          <w:highlight w:val="none"/>
        </w:rPr>
        <w:t>广州市人事服务中心</w:t>
      </w:r>
      <w:r>
        <w:rPr>
          <w:rFonts w:hint="eastAsia" w:hAnsi="宋体"/>
          <w:color w:val="auto"/>
          <w:sz w:val="24"/>
          <w:szCs w:val="24"/>
          <w:highlight w:val="none"/>
        </w:rPr>
        <w:t>对招标文件进行必要的澄清或者修改的，在采购信息发布网站上发布更正公告。澄清或者修改的内容可能影响投标文件编制的，更正公告在投标截止时间至少5日前发出；不足5日的，</w:t>
      </w:r>
      <w:r>
        <w:rPr>
          <w:rFonts w:hint="eastAsia" w:hAnsi="宋体" w:cs="Arial"/>
          <w:color w:val="auto"/>
          <w:sz w:val="24"/>
          <w:szCs w:val="24"/>
          <w:highlight w:val="none"/>
        </w:rPr>
        <w:t>广州市人事服务中心</w:t>
      </w:r>
      <w:r>
        <w:rPr>
          <w:rFonts w:hint="eastAsia" w:hAnsi="宋体"/>
          <w:color w:val="auto"/>
          <w:sz w:val="24"/>
          <w:szCs w:val="24"/>
          <w:highlight w:val="none"/>
        </w:rPr>
        <w:t>顺延</w:t>
      </w:r>
      <w:r>
        <w:rPr>
          <w:rFonts w:hint="eastAsia" w:hAnsi="宋体"/>
          <w:color w:val="auto"/>
          <w:sz w:val="24"/>
          <w:highlight w:val="none"/>
        </w:rPr>
        <w:t>递交投标文件截止时间</w:t>
      </w:r>
      <w:r>
        <w:rPr>
          <w:rFonts w:hint="eastAsia" w:hAnsi="宋体"/>
          <w:color w:val="auto"/>
          <w:sz w:val="24"/>
          <w:szCs w:val="24"/>
          <w:highlight w:val="none"/>
        </w:rPr>
        <w:t>。</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olor w:val="auto"/>
          <w:sz w:val="24"/>
          <w:szCs w:val="24"/>
          <w:highlight w:val="none"/>
        </w:rPr>
        <w:t>。</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bCs/>
          <w:color w:val="auto"/>
          <w:sz w:val="24"/>
          <w:szCs w:val="24"/>
          <w:highlight w:val="none"/>
        </w:rPr>
      </w:pPr>
      <w:bookmarkStart w:id="57" w:name="_Toc101843115"/>
      <w:bookmarkStart w:id="58" w:name="_Toc101775115"/>
      <w:bookmarkStart w:id="59" w:name="_Toc101771362"/>
      <w:bookmarkStart w:id="60" w:name="_Toc101951248"/>
      <w:r>
        <w:rPr>
          <w:rFonts w:hint="eastAsia" w:hAnsi="宋体"/>
          <w:b/>
          <w:color w:val="auto"/>
          <w:sz w:val="24"/>
          <w:szCs w:val="24"/>
          <w:highlight w:val="none"/>
        </w:rPr>
        <w:t>关于关联企业</w:t>
      </w:r>
    </w:p>
    <w:p>
      <w:pPr>
        <w:pStyle w:val="6"/>
        <w:tabs>
          <w:tab w:val="left" w:pos="540"/>
        </w:tabs>
        <w:topLinePunct w:val="0"/>
        <w:bidi w:val="0"/>
        <w:spacing w:line="360" w:lineRule="auto"/>
        <w:ind w:firstLine="480" w:firstLineChars="200"/>
        <w:textAlignment w:val="auto"/>
        <w:rPr>
          <w:rFonts w:hint="eastAsia" w:ascii="宋体" w:hAnsi="宋体"/>
          <w:color w:val="auto"/>
          <w:sz w:val="24"/>
          <w:highlight w:val="none"/>
        </w:rPr>
      </w:pPr>
      <w:bookmarkStart w:id="61" w:name="_Toc134955409"/>
      <w:bookmarkStart w:id="62" w:name="_Toc127930780"/>
      <w:r>
        <w:rPr>
          <w:rFonts w:hint="eastAsia" w:ascii="宋体" w:hAnsi="宋体"/>
          <w:color w:val="auto"/>
          <w:sz w:val="24"/>
          <w:szCs w:val="24"/>
          <w:highlight w:val="none"/>
        </w:rPr>
        <w:t>除联合体外，</w:t>
      </w:r>
      <w:r>
        <w:rPr>
          <w:rFonts w:hint="eastAsia" w:ascii="宋体" w:hAnsi="宋体"/>
          <w:color w:val="auto"/>
          <w:sz w:val="24"/>
          <w:highlight w:val="none"/>
        </w:rPr>
        <w:t>法定代表人或单位负责人为同一个人或者存在直接控股、管理关系的不同供应商，不得同时参加同一项目或</w:t>
      </w:r>
      <w:r>
        <w:rPr>
          <w:rFonts w:hint="eastAsia" w:ascii="宋体" w:hAnsi="宋体"/>
          <w:color w:val="auto"/>
          <w:sz w:val="24"/>
          <w:szCs w:val="24"/>
          <w:highlight w:val="none"/>
        </w:rPr>
        <w:t>同一子项目</w:t>
      </w:r>
      <w:r>
        <w:rPr>
          <w:rFonts w:hint="eastAsia" w:ascii="宋体" w:hAnsi="宋体"/>
          <w:color w:val="auto"/>
          <w:sz w:val="24"/>
          <w:highlight w:val="none"/>
        </w:rPr>
        <w:t>的投标。如同时参加，则评审时将同时被拒绝。</w:t>
      </w:r>
    </w:p>
    <w:bookmarkEnd w:id="61"/>
    <w:bookmarkEnd w:id="62"/>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color w:val="auto"/>
          <w:highlight w:val="none"/>
        </w:rPr>
      </w:pPr>
      <w:r>
        <w:rPr>
          <w:rFonts w:hint="eastAsia" w:hAnsi="宋体"/>
          <w:b/>
          <w:color w:val="auto"/>
          <w:sz w:val="24"/>
          <w:szCs w:val="24"/>
          <w:highlight w:val="none"/>
        </w:rPr>
        <w:t>关于分公司投标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40" w:firstLineChars="225"/>
        <w:textAlignment w:val="auto"/>
        <w:outlineLvl w:val="9"/>
        <w:rPr>
          <w:rFonts w:hint="eastAsia" w:hAnsi="宋体"/>
          <w:bCs/>
          <w:color w:val="auto"/>
          <w:sz w:val="24"/>
          <w:szCs w:val="24"/>
          <w:highlight w:val="none"/>
        </w:rPr>
      </w:pPr>
      <w:bookmarkStart w:id="63" w:name="EB389f116341dd4693875bc7987e7327f3"/>
      <w:r>
        <w:rPr>
          <w:rFonts w:hAnsi="宋体"/>
          <w:bCs/>
          <w:color w:val="auto"/>
          <w:sz w:val="24"/>
          <w:szCs w:val="24"/>
          <w:highlight w:val="none"/>
        </w:rPr>
        <w:t>对可接受分公司投标的项目，分公司投标的，需提供具有法人资格的总公司的营业执照</w:t>
      </w:r>
      <w:r>
        <w:rPr>
          <w:rFonts w:hint="eastAsia" w:hAnsi="宋体"/>
          <w:bCs/>
          <w:color w:val="auto"/>
          <w:sz w:val="24"/>
          <w:szCs w:val="24"/>
          <w:highlight w:val="none"/>
          <w:lang w:val="en-US" w:eastAsia="zh-CN"/>
        </w:rPr>
        <w:t>复印件</w:t>
      </w:r>
      <w:r>
        <w:rPr>
          <w:rFonts w:hint="eastAsia" w:hAnsi="宋体"/>
          <w:bCs/>
          <w:color w:val="auto"/>
          <w:sz w:val="24"/>
          <w:szCs w:val="24"/>
          <w:highlight w:val="none"/>
          <w:lang w:eastAsia="zh-CN"/>
        </w:rPr>
        <w:t>。</w:t>
      </w:r>
      <w:r>
        <w:rPr>
          <w:rFonts w:hAnsi="宋体"/>
          <w:bCs/>
          <w:color w:val="auto"/>
          <w:sz w:val="24"/>
          <w:szCs w:val="24"/>
          <w:highlight w:val="none"/>
        </w:rPr>
        <w:t>总公司取得的相关资质证书对分公司有效，法律法规或者行业另有规定的除外。</w:t>
      </w:r>
      <w:bookmarkEnd w:id="63"/>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highlight w:val="none"/>
        </w:rPr>
        <w:t>关于中小微企业投标</w:t>
      </w:r>
    </w:p>
    <w:p>
      <w:pPr>
        <w:pStyle w:val="6"/>
        <w:tabs>
          <w:tab w:val="left" w:pos="540"/>
        </w:tabs>
        <w:topLinePunct w:val="0"/>
        <w:bidi w:val="0"/>
        <w:spacing w:line="360" w:lineRule="auto"/>
        <w:ind w:firstLine="480" w:firstLineChars="200"/>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pPr>
        <w:pStyle w:val="6"/>
        <w:tabs>
          <w:tab w:val="left" w:pos="540"/>
        </w:tabs>
        <w:topLinePunct w:val="0"/>
        <w:bidi w:val="0"/>
        <w:spacing w:line="360" w:lineRule="auto"/>
        <w:ind w:firstLine="480" w:firstLineChars="200"/>
        <w:textAlignment w:val="auto"/>
        <w:rPr>
          <w:rFonts w:hint="eastAsia" w:ascii="宋体" w:hAnsi="宋体"/>
          <w:b/>
          <w:color w:val="auto"/>
          <w:sz w:val="24"/>
          <w:szCs w:val="24"/>
          <w:highlight w:val="none"/>
        </w:rPr>
      </w:pPr>
      <w:r>
        <w:rPr>
          <w:rFonts w:hint="eastAsia" w:ascii="宋体" w:hAnsi="宋体"/>
          <w:color w:val="auto"/>
          <w:sz w:val="24"/>
          <w:szCs w:val="24"/>
          <w:highlight w:val="none"/>
        </w:rPr>
        <w:t>根据财库〔2014〕68号《财政部、司法部关于政府采购支持监狱企业发展有关问题的通知》，监狱企业视同</w:t>
      </w:r>
      <w:r>
        <w:rPr>
          <w:rStyle w:val="20"/>
          <w:rFonts w:hint="eastAsia" w:ascii="宋体" w:hAnsi="宋体"/>
          <w:color w:val="auto"/>
          <w:sz w:val="24"/>
          <w:szCs w:val="24"/>
          <w:highlight w:val="none"/>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知识产权</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lang w:val="en-GB"/>
        </w:rPr>
      </w:pPr>
      <w:r>
        <w:rPr>
          <w:rFonts w:hint="eastAsia" w:hAnsi="宋体"/>
          <w:color w:val="auto"/>
          <w:sz w:val="24"/>
          <w:szCs w:val="24"/>
          <w:highlight w:val="none"/>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投标报价应包含所有应向所有权人支付的专利权、商标权或其它知识产权的一切相关费用。</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系统软件、通用软件必须是具有在中国境内的合法使用权或版权的正版软件，涉及到第三方提出侵权或知识产权的起诉及支付版税等费用由投标人承担所有责任及费用。</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bCs/>
          <w:color w:val="auto"/>
          <w:sz w:val="24"/>
          <w:szCs w:val="24"/>
          <w:highlight w:val="none"/>
        </w:rPr>
      </w:pPr>
      <w:r>
        <w:rPr>
          <w:rFonts w:hint="eastAsia" w:hAnsi="宋体"/>
          <w:b/>
          <w:color w:val="auto"/>
          <w:sz w:val="24"/>
          <w:szCs w:val="24"/>
          <w:highlight w:val="none"/>
        </w:rPr>
        <w:t>纪律与保密事项</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在确定中标供应商之前，投标人不得与采购人就投标价格、投标方案等实质性内容进行谈判，也不得私下接触评标委员会成员。</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在确定中标供应商之前，投标人试图在投标文件审查、澄清、比较和评价时对评标委员会、采购人施加任何影响都可能导致其投标无效。</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获得本招标文件者，不得将招标文件用作本次投标以外的任何用途。若有要求，开标后，投标人应归还招标文件中的保密文件和资料。</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bookmarkEnd w:id="57"/>
    <w:bookmarkEnd w:id="58"/>
    <w:bookmarkEnd w:id="59"/>
    <w:bookmarkEnd w:id="60"/>
    <w:p>
      <w:pPr>
        <w:pStyle w:val="6"/>
        <w:topLinePunct w:val="0"/>
        <w:bidi w:val="0"/>
        <w:spacing w:line="360" w:lineRule="auto"/>
        <w:ind w:firstLine="0"/>
        <w:textAlignment w:val="auto"/>
        <w:rPr>
          <w:rFonts w:hint="eastAsia" w:ascii="宋体" w:hAnsi="宋体"/>
          <w:color w:val="auto"/>
          <w:highlight w:val="none"/>
        </w:rPr>
      </w:pPr>
      <w:bookmarkStart w:id="64" w:name="_Toc98035086"/>
      <w:bookmarkStart w:id="65" w:name="_Toc41723923"/>
      <w:bookmarkStart w:id="66" w:name="_Toc98579057"/>
      <w:bookmarkStart w:id="67" w:name="_Toc41884693"/>
      <w:bookmarkStart w:id="68" w:name="_Toc42394661"/>
      <w:bookmarkStart w:id="69" w:name="_Toc42394504"/>
      <w:bookmarkStart w:id="70" w:name="_Toc42313159"/>
      <w:bookmarkStart w:id="71" w:name="_Toc98578999"/>
      <w:bookmarkStart w:id="72" w:name="_Toc98580281"/>
      <w:bookmarkStart w:id="73" w:name="_Toc175644387"/>
      <w:bookmarkStart w:id="74" w:name="_Toc98579598"/>
      <w:bookmarkStart w:id="75" w:name="_Toc101843116"/>
      <w:bookmarkStart w:id="76" w:name="_Toc46308681"/>
      <w:bookmarkStart w:id="77" w:name="_Toc46308525"/>
      <w:bookmarkStart w:id="78" w:name="_Toc101775116"/>
      <w:bookmarkStart w:id="79" w:name="_Toc101951249"/>
      <w:bookmarkStart w:id="80" w:name="_Toc50276193"/>
      <w:bookmarkStart w:id="81" w:name="_Toc101771363"/>
      <w:bookmarkStart w:id="82" w:name="_Toc50276145"/>
      <w:bookmarkStart w:id="83" w:name="_Toc403491564"/>
      <w:bookmarkStart w:id="84" w:name="_Toc401575142"/>
    </w:p>
    <w:p>
      <w:pPr>
        <w:pStyle w:val="4"/>
        <w:numPr>
          <w:ilvl w:val="0"/>
          <w:numId w:val="3"/>
        </w:numPr>
        <w:topLinePunct w:val="0"/>
        <w:bidi w:val="0"/>
        <w:spacing w:line="360" w:lineRule="auto"/>
        <w:ind w:left="567" w:hanging="27"/>
        <w:jc w:val="both"/>
        <w:textAlignment w:val="auto"/>
        <w:rPr>
          <w:rFonts w:hint="eastAsia" w:hAnsi="宋体"/>
          <w:b/>
          <w:color w:val="auto"/>
          <w:sz w:val="24"/>
          <w:szCs w:val="24"/>
          <w:highlight w:val="none"/>
        </w:rPr>
      </w:pPr>
      <w:r>
        <w:rPr>
          <w:rFonts w:hint="eastAsia" w:hAnsi="宋体"/>
          <w:b/>
          <w:color w:val="auto"/>
          <w:sz w:val="24"/>
          <w:szCs w:val="24"/>
          <w:highlight w:val="none"/>
        </w:rPr>
        <w:t>投标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hAnsi="宋体"/>
          <w:b/>
          <w:color w:val="auto"/>
          <w:sz w:val="24"/>
          <w:szCs w:val="24"/>
          <w:highlight w:val="none"/>
        </w:rPr>
        <w:t>要求</w:t>
      </w:r>
      <w:bookmarkEnd w:id="83"/>
      <w:bookmarkEnd w:id="84"/>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bookmarkStart w:id="85" w:name="_Toc42313161"/>
      <w:bookmarkStart w:id="86" w:name="_Toc42394506"/>
      <w:bookmarkStart w:id="87" w:name="_Toc50276147"/>
      <w:bookmarkStart w:id="88" w:name="_Toc101775118"/>
      <w:bookmarkStart w:id="89" w:name="_Toc98579059"/>
      <w:bookmarkStart w:id="90" w:name="_Toc41723925"/>
      <w:bookmarkStart w:id="91" w:name="_Toc101951251"/>
      <w:bookmarkStart w:id="92" w:name="_Toc98580283"/>
      <w:bookmarkStart w:id="93" w:name="_Toc101843118"/>
      <w:bookmarkStart w:id="94" w:name="_Toc98579001"/>
      <w:bookmarkStart w:id="95" w:name="_Toc98579600"/>
      <w:bookmarkStart w:id="96" w:name="_Toc41884695"/>
      <w:bookmarkStart w:id="97" w:name="_Toc101771365"/>
      <w:bookmarkStart w:id="98" w:name="_Toc42394663"/>
      <w:bookmarkStart w:id="99" w:name="_Toc134956127"/>
      <w:r>
        <w:rPr>
          <w:rFonts w:hint="eastAsia" w:hAnsi="宋体"/>
          <w:b/>
          <w:color w:val="auto"/>
          <w:sz w:val="24"/>
          <w:szCs w:val="24"/>
          <w:highlight w:val="none"/>
        </w:rPr>
        <w:t>投标文件的制作</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Ansi="宋体"/>
          <w:color w:val="auto"/>
          <w:sz w:val="24"/>
          <w:highlight w:val="none"/>
        </w:rPr>
      </w:pPr>
      <w:r>
        <w:rPr>
          <w:rFonts w:hint="eastAsia" w:hAnsi="宋体"/>
          <w:color w:val="auto"/>
          <w:sz w:val="24"/>
          <w:highlight w:val="none"/>
        </w:rPr>
        <w:t>投标人不得将同一个项目或同一个子项目的内容拆开投标，否则其报价将被视为非实质性响应。</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Ansi="宋体"/>
          <w:color w:val="auto"/>
          <w:sz w:val="24"/>
          <w:szCs w:val="24"/>
          <w:highlight w:val="none"/>
        </w:rPr>
      </w:pPr>
      <w:r>
        <w:rPr>
          <w:rFonts w:hint="eastAsia" w:hAnsi="宋体"/>
          <w:color w:val="auto"/>
          <w:sz w:val="24"/>
          <w:szCs w:val="24"/>
          <w:highlight w:val="none"/>
        </w:rPr>
        <w:t>投标人须对招标文件的对应要求给予唯一的实质性响应，否则将视为不响应。</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highlight w:val="none"/>
        </w:rPr>
      </w:pPr>
      <w:r>
        <w:rPr>
          <w:rFonts w:hint="eastAsia" w:hAnsi="宋体"/>
          <w:color w:val="auto"/>
          <w:sz w:val="24"/>
          <w:szCs w:val="24"/>
          <w:highlight w:val="none"/>
        </w:rPr>
        <w:t>招标文件中，凡标有“★”的地方均为实质性响应条款，投标人若有一项带“★”的条款未响应或不满足，将按无效投标处理。</w:t>
      </w:r>
      <w:bookmarkStart w:id="100" w:name="EBddb9b364d5604cd0b879c551717f0bc3"/>
      <w:r>
        <w:rPr>
          <w:rFonts w:hAnsi="宋体"/>
          <w:color w:val="auto"/>
          <w:sz w:val="20"/>
          <w:szCs w:val="24"/>
          <w:highlight w:val="none"/>
        </w:rPr>
        <w:t xml:space="preserve"> </w:t>
      </w:r>
      <w:bookmarkEnd w:id="100"/>
      <w:bookmarkStart w:id="101" w:name="EB2d104c79e08d4d69ab62b6f9e518431f"/>
      <w:r>
        <w:rPr>
          <w:rFonts w:hAnsi="宋体"/>
          <w:color w:val="auto"/>
          <w:highlight w:val="none"/>
        </w:rPr>
        <w:t xml:space="preserve"> </w:t>
      </w:r>
      <w:bookmarkEnd w:id="101"/>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sz w:val="24"/>
          <w:szCs w:val="24"/>
          <w:highlight w:val="none"/>
        </w:rPr>
      </w:pPr>
      <w:r>
        <w:rPr>
          <w:rFonts w:hint="eastAsia" w:hAnsi="宋体"/>
          <w:color w:val="auto"/>
          <w:sz w:val="24"/>
          <w:szCs w:val="24"/>
          <w:highlight w:val="none"/>
        </w:rPr>
        <w:t>投标人必须按招标文件指定的格式填写各种报价，各报价应计算正确。除在招标文件另有规定外，计量单位应使用中华人民共和国法定计量单位，以人民币填报所有报价。</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sz w:val="24"/>
          <w:szCs w:val="24"/>
          <w:highlight w:val="none"/>
        </w:rPr>
      </w:pPr>
      <w:r>
        <w:rPr>
          <w:rFonts w:hint="eastAsia" w:hAnsi="宋体"/>
          <w:color w:val="auto"/>
          <w:sz w:val="24"/>
          <w:szCs w:val="24"/>
          <w:highlight w:val="none"/>
        </w:rPr>
        <w:t>投标文件以及投标人与采购人就有关投标的往来函电均应使用中文。投标人提交的支持性文件和印制的文件可以用另一种语言，但相应内容应翻译成中文，在解释投标文件时以中文文本为准。</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426"/>
        <w:textAlignment w:val="auto"/>
        <w:outlineLvl w:val="9"/>
        <w:rPr>
          <w:rFonts w:hAnsi="宋体"/>
          <w:color w:val="auto"/>
          <w:sz w:val="24"/>
          <w:szCs w:val="24"/>
          <w:highlight w:val="none"/>
        </w:rPr>
      </w:pPr>
      <w:r>
        <w:rPr>
          <w:rFonts w:hint="eastAsia" w:hAnsi="宋体"/>
          <w:color w:val="auto"/>
          <w:sz w:val="24"/>
          <w:szCs w:val="24"/>
          <w:highlight w:val="none"/>
        </w:rPr>
        <w:t>投标人应按招标文件的规定及附件要求的内容和格式完整地填写和提供资料。</w:t>
      </w:r>
      <w:r>
        <w:rPr>
          <w:rStyle w:val="20"/>
          <w:rFonts w:hint="eastAsia" w:hAnsi="宋体"/>
          <w:color w:val="auto"/>
          <w:sz w:val="24"/>
          <w:szCs w:val="24"/>
          <w:highlight w:val="none"/>
        </w:rPr>
        <w:t>投标人必须对投标文件所提供的全部资料的真实性承担法律责任，并无条件接受采购人和政府采购监督管理部门对其中任何资料进行核实（核对原件）的要求</w:t>
      </w:r>
      <w:r>
        <w:rPr>
          <w:rFonts w:hint="eastAsia" w:hAnsi="宋体"/>
          <w:color w:val="auto"/>
          <w:sz w:val="24"/>
          <w:szCs w:val="24"/>
          <w:highlight w:val="none"/>
        </w:rPr>
        <w:t>。</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bookmarkStart w:id="102" w:name="_Toc101843121"/>
      <w:bookmarkStart w:id="103" w:name="_Toc101951254"/>
      <w:bookmarkStart w:id="104" w:name="_Toc101771368"/>
      <w:bookmarkStart w:id="105" w:name="_Toc101775121"/>
      <w:bookmarkStart w:id="106" w:name="_Toc134956130"/>
      <w:r>
        <w:rPr>
          <w:rFonts w:hint="eastAsia" w:hAnsi="宋体"/>
          <w:b/>
          <w:color w:val="auto"/>
          <w:sz w:val="24"/>
          <w:szCs w:val="24"/>
          <w:highlight w:val="none"/>
        </w:rPr>
        <w:t>投标文件的递交</w:t>
      </w:r>
    </w:p>
    <w:p>
      <w:pPr>
        <w:pStyle w:val="6"/>
        <w:numPr>
          <w:ilvl w:val="0"/>
          <w:numId w:val="4"/>
        </w:numPr>
        <w:tabs>
          <w:tab w:val="left" w:pos="0"/>
        </w:tabs>
        <w:topLinePunct w:val="0"/>
        <w:bidi w:val="0"/>
        <w:spacing w:line="360" w:lineRule="auto"/>
        <w:ind w:left="0" w:firstLine="525"/>
        <w:textAlignment w:val="auto"/>
        <w:rPr>
          <w:rFonts w:hint="eastAsia" w:hAnsi="宋体"/>
          <w:color w:val="auto"/>
          <w:sz w:val="24"/>
          <w:szCs w:val="24"/>
          <w:highlight w:val="none"/>
        </w:rPr>
      </w:pPr>
      <w:r>
        <w:rPr>
          <w:rFonts w:hint="eastAsia" w:ascii="宋体" w:hAnsi="宋体"/>
          <w:color w:val="auto"/>
          <w:sz w:val="24"/>
          <w:szCs w:val="24"/>
          <w:highlight w:val="none"/>
        </w:rPr>
        <w:t xml:space="preserve">投标人应严格按照招标文件格式格式要求，时间要求递交投标文件。 </w:t>
      </w:r>
      <w:bookmarkEnd w:id="102"/>
      <w:bookmarkEnd w:id="103"/>
      <w:bookmarkEnd w:id="104"/>
      <w:bookmarkEnd w:id="105"/>
      <w:bookmarkEnd w:id="106"/>
      <w:bookmarkStart w:id="107" w:name="_Toc101843123"/>
      <w:bookmarkStart w:id="108" w:name="_Toc42394509"/>
      <w:bookmarkStart w:id="109" w:name="_Toc41723928"/>
      <w:bookmarkStart w:id="110" w:name="_Toc98580286"/>
      <w:bookmarkStart w:id="111" w:name="_Toc134956132"/>
      <w:bookmarkStart w:id="112" w:name="_Toc42313164"/>
      <w:bookmarkStart w:id="113" w:name="_Toc101775123"/>
      <w:bookmarkStart w:id="114" w:name="_Toc41884698"/>
      <w:bookmarkStart w:id="115" w:name="_Toc98579004"/>
      <w:bookmarkStart w:id="116" w:name="_Toc101771370"/>
      <w:bookmarkStart w:id="117" w:name="_Toc50276150"/>
      <w:bookmarkStart w:id="118" w:name="_Toc98579062"/>
      <w:bookmarkStart w:id="119" w:name="_Toc98579603"/>
      <w:bookmarkStart w:id="120" w:name="_Toc101951256"/>
      <w:bookmarkStart w:id="121" w:name="_Toc42394666"/>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投标有效期</w:t>
      </w:r>
    </w:p>
    <w:p>
      <w:pPr>
        <w:pStyle w:val="6"/>
        <w:tabs>
          <w:tab w:val="left" w:pos="900"/>
        </w:tabs>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投标有效期为开标后90天。</w:t>
      </w:r>
    </w:p>
    <w:p>
      <w:pPr>
        <w:pStyle w:val="6"/>
        <w:tabs>
          <w:tab w:val="left" w:pos="900"/>
        </w:tabs>
        <w:topLinePunct w:val="0"/>
        <w:bidi w:val="0"/>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在特殊情况下，广州市人事服务中心可于投标有效期满之前要求投标人同意延长有效期，要求与答复均以书面形式进行；同意延期的投标人其权利与义务相应延至新的截止期。</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投标保证金</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auto"/>
        <w:outlineLvl w:val="9"/>
        <w:rPr>
          <w:rFonts w:hint="eastAsia" w:hAnsi="宋体"/>
          <w:color w:val="auto"/>
          <w:sz w:val="24"/>
          <w:szCs w:val="24"/>
          <w:highlight w:val="none"/>
        </w:rPr>
      </w:pPr>
      <w:bookmarkStart w:id="122" w:name="EB5f0fe7692f1d46588b637d0f48f56b6f"/>
      <w:r>
        <w:rPr>
          <w:rFonts w:hAnsi="宋体"/>
          <w:color w:val="auto"/>
          <w:sz w:val="24"/>
          <w:highlight w:val="none"/>
        </w:rPr>
        <w:t>本项目不收取投标保证金。</w:t>
      </w:r>
      <w:r>
        <w:rPr>
          <w:rFonts w:hAnsi="宋体"/>
          <w:color w:val="auto"/>
          <w:sz w:val="24"/>
          <w:szCs w:val="24"/>
          <w:highlight w:val="none"/>
        </w:rPr>
        <w:t xml:space="preserve"> </w:t>
      </w:r>
      <w:bookmarkEnd w:id="122"/>
    </w:p>
    <w:p>
      <w:pPr>
        <w:topLinePunct w:val="0"/>
        <w:bidi w:val="0"/>
        <w:spacing w:line="360" w:lineRule="auto"/>
        <w:textAlignment w:val="auto"/>
        <w:rPr>
          <w:rFonts w:hint="default"/>
          <w:lang w:val="en-US" w:eastAsia="zh-CN"/>
        </w:rPr>
      </w:pPr>
      <w:r>
        <w:rPr>
          <w:rFonts w:hint="default"/>
          <w:lang w:val="en-US" w:eastAsia="zh-CN"/>
        </w:rPr>
        <w:br w:type="page"/>
      </w:r>
    </w:p>
    <w:p>
      <w:pPr>
        <w:numPr>
          <w:ilvl w:val="0"/>
          <w:numId w:val="5"/>
        </w:numPr>
        <w:topLinePunct w:val="0"/>
        <w:bidi w:val="0"/>
        <w:spacing w:before="156" w:line="360" w:lineRule="auto"/>
        <w:ind w:firstLine="2871"/>
        <w:textAlignment w:val="auto"/>
        <w:outlineLvl w:val="0"/>
        <w:rPr>
          <w:rFonts w:ascii="宋体" w:hAnsi="宋体" w:eastAsia="宋体" w:cs="宋体"/>
          <w:color w:val="auto"/>
          <w:spacing w:val="-3"/>
          <w:sz w:val="44"/>
          <w:szCs w:val="44"/>
          <w:highlight w:val="none"/>
          <w:shd w:val="clear" w:color="auto" w:fill="auto"/>
          <w14:textOutline w14:w="8717" w14:cap="sq" w14:cmpd="sng">
            <w14:solidFill>
              <w14:srgbClr w14:val="000000"/>
            </w14:solidFill>
            <w14:prstDash w14:val="solid"/>
            <w14:bevel/>
          </w14:textOutline>
        </w:rPr>
      </w:pPr>
      <w:r>
        <w:rPr>
          <w:rFonts w:ascii="宋体" w:hAnsi="宋体" w:eastAsia="宋体" w:cs="宋体"/>
          <w:color w:val="auto"/>
          <w:spacing w:val="-3"/>
          <w:sz w:val="44"/>
          <w:szCs w:val="44"/>
          <w:highlight w:val="none"/>
          <w:shd w:val="clear" w:color="auto" w:fill="auto"/>
          <w14:textOutline w14:w="8717" w14:cap="sq" w14:cmpd="sng">
            <w14:solidFill>
              <w14:srgbClr w14:val="000000"/>
            </w14:solidFill>
            <w14:prstDash w14:val="solid"/>
            <w14:bevel/>
          </w14:textOutline>
        </w:rPr>
        <w:t>采购人需求</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根据工作需要，广州市人事服务中心对“2022年第一批广州市事业单位人员网上学习平台课程资源采购”项目进行招标采购，欢迎合格供应商前来投标。项目信息及投标事宜如下：</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（一）项目名称：广州市事业单位人员网上学习平台课程资源采购</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（二）本项目最高限价：40万元</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（三）项目内容及需求：</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1.项目名称：2022年第一批广州市事业单位人员网上学习平台课程资源采购</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2.类别：服务</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3.期限：</w:t>
      </w:r>
      <w:r>
        <w:rPr>
          <w:rFonts w:hint="eastAsia" w:asciiTheme="minorEastAsia" w:hAnsiTheme="minorEastAsia" w:eastAsiaTheme="minorEastAsia" w:cstheme="minorEastAsia"/>
          <w:sz w:val="24"/>
          <w:szCs w:val="24"/>
          <w:lang w:val="en-US" w:eastAsia="zh-CN"/>
        </w:rPr>
        <w:t>2022年9月28日</w:t>
      </w:r>
      <w:r>
        <w:rPr>
          <w:rFonts w:hint="eastAsia" w:asciiTheme="minorEastAsia" w:hAnsiTheme="minorEastAsia" w:eastAsiaTheme="minorEastAsia" w:cstheme="minorEastAsia"/>
          <w:sz w:val="24"/>
          <w:szCs w:val="24"/>
        </w:rPr>
        <w:t>前完成项目服务工作。</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4.质保期：壹年</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二、广州市事业单位人员网上学习平台课程资源服务需求</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广州市事业单位人员网上学习平台学习需求，采购一批干部教育类课程资源。课程资源内容主要包括习近平新时代中国特色社会主义思想、习近平总书记重要论述和重要讲话精神、党史教育、理想信念、总体国家安全观、疫情防控、综合素质、营商环境、心理调适、乡村振兴、现代交通枢纽、碳达峰碳中和、数字政府、生态文明、事业单位人事政策、人力资源、历史文化、科技创新、教育、经济、农业、科技创新、法律法规、健康中国、大数据、党风廉政建设、保密工作、消防安全和综合素质等公共科目、专业科目方面课程资源1批，约250学时。招标方通过自行采购—内部招标的方式确定1家供应商进行采购。</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的数字化课程资源类型为视频类课程。视频格式为MP4格式，H264/AVC编码，视频分辨率为1080P，视频码率不低于5Mbps，需保证画面和声音清晰。课程资源时长超过30分钟、少于45分钟的为1学时，30分钟及以下的为0.5学时、少于10分钟的不计算学时。</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所提供的课程资源应经过严格的技术审查和内容审查，确保不涉及国家秘密、不存在政治问题、不存在意识形态问题。课程主讲人须为该专业领域的教授、</w:t>
      </w:r>
      <w:r>
        <w:rPr>
          <w:rFonts w:hint="eastAsia" w:asciiTheme="minorEastAsia" w:hAnsiTheme="minorEastAsia" w:eastAsiaTheme="minorEastAsia" w:cstheme="minorEastAsia"/>
          <w:sz w:val="24"/>
          <w:szCs w:val="24"/>
          <w:lang w:eastAsia="zh-CN"/>
        </w:rPr>
        <w:t>副教授、</w:t>
      </w:r>
      <w:r>
        <w:rPr>
          <w:rFonts w:hint="eastAsia" w:asciiTheme="minorEastAsia" w:hAnsiTheme="minorEastAsia" w:eastAsiaTheme="minorEastAsia" w:cstheme="minorEastAsia"/>
          <w:sz w:val="24"/>
          <w:szCs w:val="24"/>
        </w:rPr>
        <w:t>专家、学者、名家等优秀专业人员，保证知识传播的前沿性和权威性。课程内容符合党和国家的路线、方针、政策和法律、法规。课程不得内含广告等商业信息，以及反动、不健康等不良信息，所引起的不良后果，</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须全部承担。</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应具有成熟的课件开发能力，以确保能按时、按质、按量提交课件，并能及时解决课件测试、上线和使用过程中出现的各种问题。</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必须提供至少三年的免费服务，</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必须配合用户做好技术支持，提供的课件资源能够在我中心事业单位工作人员网上学习平台的电脑端和移动端上正常播放；平台如进行升级，</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需配合进行课件升级（费用包含在投标报价中）。</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5.所采购网络课程资源实体须全部交付给采购人，如果采购人原备份数据损坏，</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应免费提供相应的资源数据备份。</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6.采购人对购买的网络课程资源拥有终身使用权，购买后可长期使用，合同约定范围内使用该内容产品，不受时间限制，不再支付使用费用。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提供的网络课程资源必须拥有自主知识产权或取得合法授权；所有知识产权纠纷由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承担责任，广州市人事服务中心免责。</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中标后除提供资源实体后，还需提供资源完整的编目信息（如标题、分类、时长、主讲人、主讲人职务、关键字、缩略图、课程简介、课程测试题等）。</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中标后将需提供的网络课程资源上传至采购人指定的平台。</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供应商</w:t>
      </w:r>
      <w:r>
        <w:rPr>
          <w:rFonts w:hint="eastAsia" w:asciiTheme="minorEastAsia" w:hAnsiTheme="minorEastAsia" w:eastAsiaTheme="minorEastAsia" w:cstheme="minorEastAsia"/>
          <w:b/>
          <w:bCs/>
          <w:sz w:val="24"/>
          <w:szCs w:val="24"/>
        </w:rPr>
        <w:t>必须符合下列条件</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（一）企业应满足《中华人民共和国政府采购法》第二十二条规定：</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2.具有良好的商业信誉和健全的财务会计制度；</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3.具有履行合同所必需的设备和专业技术能力；</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4.有依法缴纳税收和社会保障资金的良好记录；</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6.法律、行政法规规定的其他条件。</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（二）企业未被“信用中国”(www.creditchina.gov.cn)、“中国政府采购网”(www.ccgp.gov.cn)列入失信被执行人、重大税收违法案件当事人名单、政府采购严重违法失信行为记录名单。</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（三）企业法人或者负责人为同一人或者存在直接控股、管理关系的不同供应商，不得同时参加同一项目下的投标，否则均按否决投标处理。</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（四）本项目不接受联合体投标。</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（五）企业应具有履行合同所必需的资质与能力。</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（六）提供企业营业执照、企业资质证件，法定代表人委托授权书、被授权人身份证、相</w:t>
      </w:r>
      <w:r>
        <w:rPr>
          <w:rFonts w:hint="eastAsia" w:asciiTheme="minorEastAsia" w:hAnsiTheme="minorEastAsia" w:eastAsiaTheme="minorEastAsia" w:cstheme="minorEastAsia"/>
          <w:b w:val="0"/>
          <w:bCs w:val="0"/>
          <w:sz w:val="24"/>
          <w:szCs w:val="24"/>
        </w:rPr>
        <w:t>关业绩等。</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四、供应商投标文件内容</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1.公司简介</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3.项目服务方案（包括课程清单）</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五、招投标流程</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2022年9月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日，广州市人事服务中心通过市人社局网站发布招标公告，明确采购内容、投标人资质、投标资料、评标标准等要求；</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2022年9月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日17时前，供应商将投标材料邮寄至广州市人事服务中心培训二部；</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2022年9月23日</w:t>
      </w:r>
      <w:r>
        <w:rPr>
          <w:rFonts w:hint="eastAsia" w:asciiTheme="minorEastAsia" w:hAnsiTheme="minorEastAsia" w:eastAsiaTheme="minorEastAsia" w:cstheme="minorEastAsia"/>
          <w:sz w:val="24"/>
          <w:szCs w:val="24"/>
        </w:rPr>
        <w:t>前，广州市人事服务中心组织专家评标并发布中标结果；</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4.中标结果公示3天后，广州市人事服务中心与中标</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签订合同。</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六、注意事项</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如有意向，请及时按照提交时间现场提交文件至指定地点或将投标材料邮寄至指定地址，逾期递交或未按规定进行密封的响应文件不予接受，且不接受书面形式以外的任何其他形式；响应文件须密封并加盖骑缝章。</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七、确定成交供应商</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本项目由广州市人事服务中心坚持公开、公平、公正的原则，在同等品质的条件下，按供应商的报价进行排序。按照“满足需求、价格最低、品质最优”的原则综合评价确定成交供应商。</w:t>
      </w:r>
    </w:p>
    <w:p>
      <w:pPr>
        <w:pStyle w:val="28"/>
        <w:tabs>
          <w:tab w:val="center" w:pos="1276"/>
          <w:tab w:val="clear" w:pos="4201"/>
        </w:tabs>
        <w:topLinePunct w:val="0"/>
        <w:bidi w:val="0"/>
        <w:spacing w:line="360" w:lineRule="auto"/>
        <w:ind w:left="0"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八、联系方式  </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采购人：广州市人事服务中心</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址:广州市越秀区小北路266号北秀大厦9楼906室</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编：510050</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 梁倩</w:t>
      </w:r>
    </w:p>
    <w:p>
      <w:pPr>
        <w:pStyle w:val="28"/>
        <w:tabs>
          <w:tab w:val="center" w:pos="1276"/>
          <w:tab w:val="clear" w:pos="4201"/>
        </w:tabs>
        <w:topLinePunct w:val="0"/>
        <w:bidi w:val="0"/>
        <w:spacing w:line="360" w:lineRule="auto"/>
        <w:ind w:left="0" w:leftChars="0" w:firstLine="480" w:firstLineChars="200"/>
        <w:textAlignment w:val="auto"/>
        <w:rPr>
          <w:rFonts w:hint="eastAsia" w:asciiTheme="minorEastAsia" w:hAnsiTheme="minorEastAsia" w:eastAsiaTheme="minorEastAsia" w:cstheme="minorEastAsia"/>
          <w:color w:val="auto"/>
          <w:spacing w:val="-1"/>
          <w:kern w:val="2"/>
          <w:sz w:val="24"/>
          <w:szCs w:val="24"/>
          <w:highlight w:val="none"/>
          <w:shd w:val="clear" w:color="auto" w:fill="auto"/>
          <w:lang w:val="en-US" w:eastAsia="zh-CN" w:bidi="ar-SA"/>
        </w:rPr>
      </w:pPr>
      <w:r>
        <w:rPr>
          <w:rFonts w:hint="eastAsia" w:asciiTheme="minorEastAsia" w:hAnsiTheme="minorEastAsia" w:eastAsiaTheme="minorEastAsia" w:cstheme="minorEastAsia"/>
          <w:sz w:val="24"/>
          <w:szCs w:val="24"/>
        </w:rPr>
        <w:t>电  话: 020-83552756、15813340344。</w:t>
      </w:r>
    </w:p>
    <w:p>
      <w:pPr>
        <w:pStyle w:val="3"/>
        <w:pageBreakBefore/>
        <w:topLinePunct w:val="0"/>
        <w:bidi w:val="0"/>
        <w:spacing w:before="200" w:after="200" w:line="360" w:lineRule="auto"/>
        <w:jc w:val="center"/>
        <w:textAlignment w:val="auto"/>
        <w:rPr>
          <w:rFonts w:hint="eastAsia" w:ascii="宋体" w:hAnsi="宋体"/>
          <w:color w:val="auto"/>
          <w:sz w:val="44"/>
          <w:szCs w:val="44"/>
          <w:highlight w:val="none"/>
        </w:rPr>
      </w:pPr>
      <w:bookmarkStart w:id="123" w:name="_Toc403491566"/>
      <w:r>
        <w:rPr>
          <w:rFonts w:hint="eastAsia" w:ascii="宋体" w:hAnsi="宋体"/>
          <w:color w:val="auto"/>
          <w:sz w:val="44"/>
          <w:szCs w:val="44"/>
          <w:highlight w:val="none"/>
        </w:rPr>
        <w:t>第三章 合同格式</w:t>
      </w:r>
      <w:bookmarkEnd w:id="123"/>
    </w:p>
    <w:p>
      <w:pPr>
        <w:topLinePunct w:val="0"/>
        <w:bidi w:val="0"/>
        <w:spacing w:line="360" w:lineRule="auto"/>
        <w:jc w:val="left"/>
        <w:textAlignment w:val="auto"/>
        <w:rPr>
          <w:rFonts w:hAnsi="宋体"/>
          <w:b/>
          <w:bCs/>
          <w:sz w:val="24"/>
          <w:szCs w:val="24"/>
        </w:rPr>
      </w:pPr>
      <w:r>
        <w:rPr>
          <w:rFonts w:hint="eastAsia" w:ascii="宋体" w:hAnsi="宋体"/>
          <w:b/>
          <w:bCs/>
          <w:sz w:val="24"/>
          <w:szCs w:val="24"/>
        </w:rPr>
        <w:t>注：合同格式为合同的参考文本，合同签订双方可根据项目的具体要求进行修订。</w:t>
      </w:r>
    </w:p>
    <w:p>
      <w:pPr>
        <w:pStyle w:val="2"/>
        <w:topLinePunct w:val="0"/>
        <w:bidi w:val="0"/>
        <w:spacing w:line="360" w:lineRule="auto"/>
        <w:jc w:val="center"/>
        <w:textAlignment w:val="auto"/>
        <w:rPr>
          <w:rFonts w:hint="default"/>
          <w:lang w:val="en-US" w:eastAsia="zh-CN"/>
        </w:rPr>
      </w:pPr>
    </w:p>
    <w:p>
      <w:pPr>
        <w:pStyle w:val="2"/>
        <w:topLinePunct w:val="0"/>
        <w:bidi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p>
    <w:p>
      <w:pPr>
        <w:pStyle w:val="2"/>
        <w:topLinePunct w:val="0"/>
        <w:bidi w:val="0"/>
        <w:spacing w:line="360" w:lineRule="auto"/>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课件采购合同</w:t>
      </w:r>
    </w:p>
    <w:p>
      <w:pPr>
        <w:pStyle w:val="2"/>
        <w:topLinePunct w:val="0"/>
        <w:bidi w:val="0"/>
        <w:spacing w:line="360" w:lineRule="auto"/>
        <w:textAlignment w:val="auto"/>
        <w:rPr>
          <w:rFonts w:hint="default"/>
          <w:lang w:val="en-US" w:eastAsia="zh-CN"/>
        </w:rPr>
      </w:pPr>
    </w:p>
    <w:p>
      <w:pPr>
        <w:pStyle w:val="2"/>
        <w:topLinePunct w:val="0"/>
        <w:bidi w:val="0"/>
        <w:spacing w:line="360" w:lineRule="auto"/>
        <w:textAlignment w:val="auto"/>
        <w:rPr>
          <w:rFonts w:hint="default"/>
          <w:lang w:val="en-US" w:eastAsia="zh-CN"/>
        </w:rPr>
      </w:pPr>
      <w:r>
        <w:rPr>
          <w:rFonts w:hint="default"/>
          <w:lang w:val="en-US" w:eastAsia="zh-CN"/>
        </w:rPr>
        <w:t xml:space="preserve">采购方（甲方）：广州市人事服务中心     </w:t>
      </w:r>
    </w:p>
    <w:p>
      <w:pPr>
        <w:pStyle w:val="2"/>
        <w:topLinePunct w:val="0"/>
        <w:bidi w:val="0"/>
        <w:spacing w:line="360" w:lineRule="auto"/>
        <w:textAlignment w:val="auto"/>
        <w:rPr>
          <w:rFonts w:hint="default"/>
          <w:lang w:val="en-US" w:eastAsia="zh-CN"/>
        </w:rPr>
      </w:pPr>
      <w:r>
        <w:rPr>
          <w:rFonts w:hint="default"/>
          <w:lang w:val="en-US" w:eastAsia="zh-CN"/>
        </w:rPr>
        <w:t xml:space="preserve">供应方（乙方）： </w:t>
      </w:r>
    </w:p>
    <w:p>
      <w:pPr>
        <w:pStyle w:val="2"/>
        <w:topLinePunct w:val="0"/>
        <w:bidi w:val="0"/>
        <w:spacing w:line="360" w:lineRule="auto"/>
        <w:textAlignment w:val="auto"/>
        <w:rPr>
          <w:rFonts w:hint="default"/>
          <w:lang w:val="en-US" w:eastAsia="zh-CN"/>
        </w:rPr>
      </w:pP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甲乙双方经过友好协商，本着公平、诚实、信用的原则，根照《中华人民共和国合同法》等相关法律法规的规定，就甲方向乙方购买课件产品及服务，达成以下一致条款，并由双方共同恪守：</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第一条 合同内容</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甲方向乙方购买课件产品及服务，乙方按照甲方需求并在甲方指导下提供所需的课件产品内容及服务。</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第二条合同标的</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乙方向甲方提供课件：标准课程每门</w:t>
      </w:r>
      <w:r>
        <w:rPr>
          <w:rFonts w:hint="eastAsia"/>
          <w:lang w:val="en-US" w:eastAsia="zh-CN"/>
        </w:rPr>
        <w:t xml:space="preserve">     </w:t>
      </w:r>
      <w:r>
        <w:rPr>
          <w:rFonts w:hint="default"/>
          <w:lang w:val="en-US" w:eastAsia="zh-CN"/>
        </w:rPr>
        <w:t>元（￥</w:t>
      </w:r>
      <w:r>
        <w:rPr>
          <w:rFonts w:hint="eastAsia"/>
          <w:lang w:val="en-US" w:eastAsia="zh-CN"/>
        </w:rPr>
        <w:t xml:space="preserve">   </w:t>
      </w:r>
      <w:r>
        <w:rPr>
          <w:rFonts w:hint="default"/>
          <w:lang w:val="en-US" w:eastAsia="zh-CN"/>
        </w:rPr>
        <w:t>元），微课程每门</w:t>
      </w:r>
      <w:r>
        <w:rPr>
          <w:rFonts w:hint="eastAsia"/>
          <w:lang w:val="en-US" w:eastAsia="zh-CN"/>
        </w:rPr>
        <w:t xml:space="preserve">   </w:t>
      </w:r>
      <w:r>
        <w:rPr>
          <w:rFonts w:hint="default"/>
          <w:lang w:val="en-US" w:eastAsia="zh-CN"/>
        </w:rPr>
        <w:t>元（￥</w:t>
      </w:r>
      <w:r>
        <w:rPr>
          <w:rFonts w:hint="eastAsia"/>
          <w:lang w:val="en-US" w:eastAsia="zh-CN"/>
        </w:rPr>
        <w:t xml:space="preserve">  </w:t>
      </w:r>
      <w:r>
        <w:rPr>
          <w:rFonts w:hint="default"/>
          <w:lang w:val="en-US" w:eastAsia="zh-CN"/>
        </w:rPr>
        <w:t>元）。</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第三条 费用结算方式</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１．付款方式：按季度结算付款。本合同只确定网络课件的单价，不确定数量，双方根据实际购买数量结算。在合同签订生效后，甲、乙双方每季度审核课程使用数量，确定课程使用数量无误后，甲方向乙方支付实际费用。</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2．课程的包装、运输费等费用由乙方承担。</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3．乙方账号信息：</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名    称：</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开户银行：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帐    号：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第四条 合同期限</w:t>
      </w:r>
    </w:p>
    <w:p>
      <w:pPr>
        <w:pStyle w:val="2"/>
        <w:topLinePunct w:val="0"/>
        <w:bidi w:val="0"/>
        <w:spacing w:line="360" w:lineRule="auto"/>
        <w:ind w:firstLine="480" w:firstLineChars="200"/>
        <w:textAlignment w:val="auto"/>
        <w:rPr>
          <w:rFonts w:hint="default"/>
          <w:lang w:val="en-US" w:eastAsia="zh-CN"/>
        </w:rPr>
      </w:pPr>
      <w:r>
        <w:rPr>
          <w:rFonts w:hint="eastAsia"/>
          <w:lang w:val="en-US" w:eastAsia="zh-CN"/>
        </w:rPr>
        <w:t>12个月</w:t>
      </w:r>
      <w:r>
        <w:rPr>
          <w:rFonts w:hint="default"/>
          <w:lang w:val="en-US" w:eastAsia="zh-CN"/>
        </w:rPr>
        <w:t>。</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第五条 甲方权利和义务</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1．甲方对所购买的乙方的课件具有永久使用权，购买后甲方可长期在合同约定范围内使用该课件，不受时间限制，不再支付使用费用。乙方保证该权利不会因为课件版权人发生变化而受任何影响。</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2．甲方为乙方正式授权的课件使用者，只能使用于甲方开展的广州市干部培训。</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3．甲方对乙方所交付课程有异议的，乙方负责无条件调换。</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第六条 乙方权利和义务</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1．乙方应提前将课件上传到网络平台，供甲方在线选课。</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2．乙方应在收到甲方确定的课程采购需求5个工作日内，乙方将甲方选定的课件以光盘或其他甲方认可的方式交付甲方使用，交付地点由双方共同商定。</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3．乙方根据甲方确认的课件清单提供课件。所提供的课件为视频课件，符合甲方对课件标准的要求，确保提供给甲方的课件须符合甲方现有软件平台/系统环境。</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4．乙方提供给甲方的课件产品内容应包括但不限于视频课件、相关图片素材、资料及课程配套测试题等</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5．乙方保证所提供的产品内容完整、政治导向正确、语言文字准确、信息符合时代、收听效果良好、播放质量过关，不包含色情、淫秽、反动以及其他任何违反法律、法规的内容，不涉及国家秘密、</w:t>
      </w:r>
      <w:r>
        <w:rPr>
          <w:rFonts w:hint="eastAsia"/>
          <w:lang w:val="en-US" w:eastAsia="zh-CN"/>
        </w:rPr>
        <w:t>无</w:t>
      </w:r>
      <w:r>
        <w:rPr>
          <w:rFonts w:hint="default"/>
          <w:lang w:val="en-US" w:eastAsia="zh-CN"/>
        </w:rPr>
        <w:t>政治问题、</w:t>
      </w:r>
      <w:r>
        <w:rPr>
          <w:rFonts w:hint="eastAsia"/>
          <w:lang w:val="en-US" w:eastAsia="zh-CN"/>
        </w:rPr>
        <w:t>无</w:t>
      </w:r>
      <w:r>
        <w:rPr>
          <w:rFonts w:hint="default"/>
          <w:lang w:val="en-US" w:eastAsia="zh-CN"/>
        </w:rPr>
        <w:t>意识形态问题</w:t>
      </w:r>
      <w:r>
        <w:rPr>
          <w:rFonts w:hint="eastAsia"/>
          <w:lang w:val="en-US" w:eastAsia="zh-CN"/>
        </w:rPr>
        <w:t>，</w:t>
      </w:r>
      <w:r>
        <w:rPr>
          <w:rFonts w:hint="default"/>
          <w:lang w:val="en-US" w:eastAsia="zh-CN"/>
        </w:rPr>
        <w:t>可合法供甲方使用。 如有违反，引起的相关责任由乙方承担。</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6．乙方有权对甲方的课件使用范围进行监督。</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第七条 技术支持与售后服务</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1．乙方为甲方提供技术支持和售后服务，确保课件在甲方环境中正常运行。</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2．甲方在使用过程中出现问题的，乙方保证24小时内提供技术响应，通过电话、电子邮件、网络方式未能解决问题，应在72小时内免费上门服务。</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3．甲方联系方式：</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地址：广州市越秀区小北路266号</w:t>
      </w:r>
      <w:r>
        <w:rPr>
          <w:rFonts w:hint="eastAsia"/>
          <w:lang w:val="en-US" w:eastAsia="zh-CN"/>
        </w:rPr>
        <w:t>9</w:t>
      </w:r>
      <w:r>
        <w:rPr>
          <w:rFonts w:hint="default"/>
          <w:lang w:val="en-US" w:eastAsia="zh-CN"/>
        </w:rPr>
        <w:t xml:space="preserve">楼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联系人：</w:t>
      </w:r>
      <w:r>
        <w:rPr>
          <w:rFonts w:hint="eastAsia"/>
          <w:lang w:val="en-US" w:eastAsia="zh-CN"/>
        </w:rPr>
        <w:t>梁倩</w:t>
      </w:r>
      <w:r>
        <w:rPr>
          <w:rFonts w:hint="default"/>
          <w:lang w:val="en-US" w:eastAsia="zh-CN"/>
        </w:rPr>
        <w:t xml:space="preserve">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联系方式： 020-83552756、15813340344</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通讯地址：广州市越秀区小北路266号</w:t>
      </w:r>
      <w:r>
        <w:rPr>
          <w:rFonts w:hint="eastAsia"/>
          <w:lang w:val="en-US" w:eastAsia="zh-CN"/>
        </w:rPr>
        <w:t>9</w:t>
      </w:r>
      <w:r>
        <w:rPr>
          <w:rFonts w:hint="default"/>
          <w:lang w:val="en-US" w:eastAsia="zh-CN"/>
        </w:rPr>
        <w:t>楼</w:t>
      </w:r>
      <w:r>
        <w:rPr>
          <w:rFonts w:hint="eastAsia"/>
          <w:lang w:val="en-US" w:eastAsia="zh-CN"/>
        </w:rPr>
        <w:t>906</w:t>
      </w:r>
      <w:r>
        <w:rPr>
          <w:rFonts w:hint="default"/>
          <w:lang w:val="en-US" w:eastAsia="zh-CN"/>
        </w:rPr>
        <w:t>室</w:t>
      </w:r>
      <w:r>
        <w:rPr>
          <w:rFonts w:hint="eastAsia"/>
          <w:lang w:val="en-US" w:eastAsia="zh-CN"/>
        </w:rPr>
        <w:t>。</w:t>
      </w:r>
      <w:r>
        <w:rPr>
          <w:rFonts w:hint="default"/>
          <w:lang w:val="en-US" w:eastAsia="zh-CN"/>
        </w:rPr>
        <w:t xml:space="preserve">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4．乙方联系方式：</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地址：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联系人：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联系方式：</w:t>
      </w:r>
      <w:r>
        <w:rPr>
          <w:rFonts w:hint="eastAsia"/>
          <w:lang w:val="en-US" w:eastAsia="zh-CN"/>
        </w:rPr>
        <w:t xml:space="preserve">          </w:t>
      </w:r>
      <w:r>
        <w:rPr>
          <w:rFonts w:hint="default"/>
          <w:lang w:val="en-US" w:eastAsia="zh-CN"/>
        </w:rPr>
        <w:t>，传真电话：</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通讯地址：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第八条 知识产权</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 xml:space="preserve">1、乙方提供的课件内容产品所包括的文字、声音、图片、视频等全部内容均受版权、知识产权和其它财产所有权法律保护。甲方在不违反课程版权和知识产权的前提下，可对乙方提供的课件进行必要的修改，但不得随意对乙方内容产品进行编辑或做出损害乙方形象等行为。 </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甲方在使用的过程中有权向学员提供课件文字资料下载，但不得提供课程下载。甲方承诺尊重乙方的知识产权，不以任何形式超出合同使用范围，未经乙方正式授权，不擅自将乙方的课程转让、转售或供人下载使用。</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3．甲方有责任采取相应的措施保护乙方课件的版权和知识产权不受侵犯。</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４．乙方保证本合同约定下供给甲方的所有课件内容产品拥有合法版权，课件内容产品涉及与第三方知识产权的任何争议与甲方无关，由乙方承担相应法律责任。如有违约，乙方应承担违约责任，违约金为十万元人民币，并赔偿甲方相关损失包括但不限于赔偿金、罚款、诉讼费、律师费等。</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第九条 保密责任</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甲、乙双方对本次合作及本合同的具体内容负有保密责任。未经双方事先书面同意，任何一方不得将双方合同的具体内容披露给任何第三方。</w:t>
      </w:r>
    </w:p>
    <w:p>
      <w:pPr>
        <w:pStyle w:val="2"/>
        <w:topLinePunct w:val="0"/>
        <w:bidi w:val="0"/>
        <w:spacing w:line="360" w:lineRule="auto"/>
        <w:textAlignment w:val="auto"/>
        <w:rPr>
          <w:rFonts w:hint="default"/>
          <w:lang w:val="en-US" w:eastAsia="zh-CN"/>
        </w:rPr>
      </w:pPr>
      <w:r>
        <w:rPr>
          <w:rFonts w:hint="default"/>
          <w:lang w:val="en-US" w:eastAsia="zh-CN"/>
        </w:rPr>
        <w:t>第十条 违约责任</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1．任何一方不履行本合同各项条款下规定的义务，视为违约。在合理期限内协商不成，守约方有权终止本合同，并要求违约方赔偿相应的经济损失。</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2．由于一方的过失造成本合同不能履行或不能完全履行的，有过失一方应承担违约责任；如双方都有过失，根据实际情况，由过失各方各自承担相应的违约责任。</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第十一条 合同的变更与解除</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　合同的变更由双方协商解决。</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　甲乙双方经协商一致，可以解除本合同。</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　因不可抗力事件造成无法履约，本合同自动解除，双方互不承担违约责任。</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第十二条 附则</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1.　如有未尽事宜，双方应签订补充合同。补充合同视作本合同组成部分，具有同等法律效力。</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2.　凡因合同所发生的一切争执，甲乙双方应通过友好协商的方式加以解决。友好协商不成的，则该争议将提交至甲方所在地人民法院管辖。</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3.　本合同自双方签字盖章之日起生效，本合同一式肆份，甲乙双方各执贰份，具有同等法律效力。</w:t>
      </w:r>
    </w:p>
    <w:p>
      <w:pPr>
        <w:pStyle w:val="2"/>
        <w:topLinePunct w:val="0"/>
        <w:bidi w:val="0"/>
        <w:spacing w:line="360" w:lineRule="auto"/>
        <w:textAlignment w:val="auto"/>
        <w:rPr>
          <w:rFonts w:hint="default"/>
          <w:lang w:val="en-US" w:eastAsia="zh-CN"/>
        </w:rPr>
      </w:pP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甲方：广州市人事服务中心    乙方：</w:t>
      </w:r>
    </w:p>
    <w:p>
      <w:pPr>
        <w:pStyle w:val="2"/>
        <w:topLinePunct w:val="0"/>
        <w:bidi w:val="0"/>
        <w:spacing w:line="360" w:lineRule="auto"/>
        <w:ind w:firstLine="1680" w:firstLineChars="700"/>
        <w:textAlignment w:val="auto"/>
        <w:rPr>
          <w:rFonts w:hint="default"/>
          <w:lang w:val="en-US" w:eastAsia="zh-CN"/>
        </w:rPr>
      </w:pPr>
      <w:r>
        <w:rPr>
          <w:rFonts w:hint="default"/>
          <w:lang w:val="en-US" w:eastAsia="zh-CN"/>
        </w:rPr>
        <w:t>（盖章）                       （盖章）</w:t>
      </w:r>
    </w:p>
    <w:p>
      <w:pPr>
        <w:pStyle w:val="2"/>
        <w:topLinePunct w:val="0"/>
        <w:bidi w:val="0"/>
        <w:spacing w:line="360" w:lineRule="auto"/>
        <w:textAlignment w:val="auto"/>
        <w:rPr>
          <w:rFonts w:hint="default"/>
          <w:lang w:val="en-US" w:eastAsia="zh-CN"/>
        </w:rPr>
      </w:pP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法定/授权代表：               法定/授权代表：</w:t>
      </w:r>
    </w:p>
    <w:p>
      <w:pPr>
        <w:pStyle w:val="2"/>
        <w:topLinePunct w:val="0"/>
        <w:bidi w:val="0"/>
        <w:spacing w:line="360" w:lineRule="auto"/>
        <w:ind w:firstLine="480" w:firstLineChars="200"/>
        <w:textAlignment w:val="auto"/>
        <w:rPr>
          <w:rFonts w:hint="default"/>
          <w:lang w:val="en-US" w:eastAsia="zh-CN"/>
        </w:rPr>
      </w:pPr>
      <w:r>
        <w:rPr>
          <w:rFonts w:hint="default"/>
          <w:lang w:val="en-US" w:eastAsia="zh-CN"/>
        </w:rPr>
        <w:t>签订日期：    年  月  日      签订日期：   年   月  日</w:t>
      </w:r>
    </w:p>
    <w:p>
      <w:pPr>
        <w:pStyle w:val="2"/>
        <w:topLinePunct w:val="0"/>
        <w:bidi w:val="0"/>
        <w:spacing w:line="360" w:lineRule="auto"/>
        <w:textAlignment w:val="auto"/>
        <w:rPr>
          <w:rFonts w:hint="default"/>
          <w:lang w:val="en-US" w:eastAsia="zh-CN"/>
        </w:rPr>
      </w:pPr>
    </w:p>
    <w:p>
      <w:pPr>
        <w:topLinePunct w:val="0"/>
        <w:bidi w:val="0"/>
        <w:spacing w:line="360" w:lineRule="auto"/>
        <w:textAlignment w:val="auto"/>
        <w:rPr>
          <w:rFonts w:hint="default"/>
          <w:lang w:val="en-US" w:eastAsia="zh-CN"/>
        </w:rPr>
      </w:pPr>
      <w:r>
        <w:rPr>
          <w:rFonts w:hint="default"/>
          <w:lang w:val="en-US" w:eastAsia="zh-CN"/>
        </w:rPr>
        <w:br w:type="page"/>
      </w:r>
    </w:p>
    <w:p>
      <w:pPr>
        <w:pStyle w:val="3"/>
        <w:topLinePunct w:val="0"/>
        <w:bidi w:val="0"/>
        <w:spacing w:before="200" w:after="200" w:line="360" w:lineRule="auto"/>
        <w:jc w:val="center"/>
        <w:textAlignment w:val="auto"/>
        <w:rPr>
          <w:rFonts w:hint="eastAsia" w:ascii="宋体" w:hAnsi="宋体"/>
          <w:color w:val="auto"/>
          <w:sz w:val="44"/>
          <w:szCs w:val="44"/>
          <w:highlight w:val="none"/>
        </w:rPr>
      </w:pPr>
      <w:bookmarkStart w:id="124" w:name="_Toc46308526"/>
      <w:bookmarkStart w:id="125" w:name="_Toc42313166"/>
      <w:bookmarkStart w:id="126" w:name="_Toc41884700"/>
      <w:bookmarkStart w:id="127" w:name="_Toc50276194"/>
      <w:bookmarkStart w:id="128" w:name="_Toc101843126"/>
      <w:bookmarkStart w:id="129" w:name="_Toc98035087"/>
      <w:bookmarkStart w:id="130" w:name="_Toc41723930"/>
      <w:bookmarkStart w:id="131" w:name="_Toc101951264"/>
      <w:bookmarkStart w:id="132" w:name="_Toc42394667"/>
      <w:bookmarkStart w:id="133" w:name="_Toc98580287"/>
      <w:bookmarkStart w:id="134" w:name="_Toc101771373"/>
      <w:bookmarkStart w:id="135" w:name="_Toc46308682"/>
      <w:bookmarkStart w:id="136" w:name="_Toc403491567"/>
      <w:bookmarkStart w:id="137" w:name="_Toc401575151"/>
      <w:bookmarkStart w:id="138" w:name="_Toc98579005"/>
      <w:bookmarkStart w:id="139" w:name="_Toc175644395"/>
      <w:bookmarkStart w:id="140" w:name="_Toc98579063"/>
      <w:bookmarkStart w:id="141" w:name="_Toc50276151"/>
      <w:bookmarkStart w:id="142" w:name="_Toc101775126"/>
      <w:bookmarkStart w:id="143" w:name="_Toc98579604"/>
      <w:bookmarkStart w:id="144" w:name="_Toc42394511"/>
      <w:r>
        <w:rPr>
          <w:rFonts w:hint="eastAsia" w:ascii="宋体" w:hAnsi="宋体"/>
          <w:color w:val="auto"/>
          <w:sz w:val="44"/>
          <w:szCs w:val="44"/>
          <w:highlight w:val="none"/>
        </w:rPr>
        <w:t>第四章 开标、评标和定标</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numPr>
          <w:ilvl w:val="0"/>
          <w:numId w:val="6"/>
        </w:numPr>
        <w:topLinePunct w:val="0"/>
        <w:bidi w:val="0"/>
        <w:spacing w:line="360" w:lineRule="auto"/>
        <w:ind w:left="567" w:hanging="27"/>
        <w:textAlignment w:val="auto"/>
        <w:outlineLvl w:val="1"/>
        <w:rPr>
          <w:rFonts w:hint="eastAsia" w:ascii="宋体" w:hAnsi="宋体"/>
          <w:b/>
          <w:bCs/>
          <w:color w:val="auto"/>
          <w:sz w:val="24"/>
          <w:szCs w:val="24"/>
          <w:highlight w:val="none"/>
        </w:rPr>
      </w:pPr>
      <w:bookmarkStart w:id="145" w:name="_Toc42329464"/>
      <w:bookmarkStart w:id="146" w:name="_Toc42394512"/>
      <w:bookmarkStart w:id="147" w:name="_Toc101771374"/>
      <w:bookmarkStart w:id="148" w:name="_Toc403491568"/>
      <w:bookmarkStart w:id="149" w:name="_Toc101775127"/>
      <w:bookmarkStart w:id="150" w:name="_Toc101951265"/>
      <w:bookmarkStart w:id="151" w:name="_Toc42315985"/>
      <w:bookmarkStart w:id="152" w:name="_Toc101843127"/>
      <w:bookmarkStart w:id="153" w:name="_Toc42394668"/>
      <w:bookmarkStart w:id="154" w:name="_Toc42316808"/>
      <w:bookmarkStart w:id="155" w:name="_Toc401575152"/>
      <w:bookmarkStart w:id="156" w:name="_Toc42315183"/>
      <w:bookmarkStart w:id="157" w:name="_Toc42394669"/>
      <w:bookmarkStart w:id="158" w:name="_Toc98579606"/>
      <w:bookmarkStart w:id="159" w:name="_Toc98580289"/>
      <w:bookmarkStart w:id="160" w:name="_Toc98579007"/>
      <w:bookmarkStart w:id="161" w:name="_Toc98579065"/>
      <w:bookmarkStart w:id="162" w:name="_Toc50276153"/>
      <w:bookmarkStart w:id="163" w:name="_Toc42394513"/>
      <w:bookmarkStart w:id="164" w:name="_Toc42313167"/>
      <w:bookmarkStart w:id="165" w:name="_Toc41723931"/>
      <w:bookmarkStart w:id="166" w:name="_Toc41884701"/>
      <w:r>
        <w:rPr>
          <w:rFonts w:hint="eastAsia" w:ascii="宋体" w:hAnsi="宋体"/>
          <w:b/>
          <w:color w:val="auto"/>
          <w:sz w:val="24"/>
          <w:szCs w:val="24"/>
          <w:highlight w:val="none"/>
        </w:rPr>
        <w:t>开标</w:t>
      </w:r>
      <w:bookmarkEnd w:id="145"/>
      <w:bookmarkEnd w:id="146"/>
      <w:bookmarkEnd w:id="147"/>
      <w:bookmarkEnd w:id="148"/>
      <w:bookmarkEnd w:id="149"/>
      <w:bookmarkEnd w:id="150"/>
      <w:bookmarkEnd w:id="151"/>
      <w:bookmarkEnd w:id="152"/>
      <w:bookmarkEnd w:id="153"/>
      <w:bookmarkEnd w:id="154"/>
      <w:bookmarkEnd w:id="155"/>
      <w:bookmarkEnd w:id="156"/>
    </w:p>
    <w:p>
      <w:pPr>
        <w:numPr>
          <w:ilvl w:val="1"/>
          <w:numId w:val="7"/>
        </w:numPr>
        <w:topLinePunct w:val="0"/>
        <w:bidi w:val="0"/>
        <w:spacing w:line="360" w:lineRule="auto"/>
        <w:ind w:left="0" w:firstLine="425"/>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广州市人事服务中心按招标公告规定的时间进行开标。 </w:t>
      </w:r>
    </w:p>
    <w:p>
      <w:pPr>
        <w:topLinePunct w:val="0"/>
        <w:bidi w:val="0"/>
        <w:spacing w:line="360" w:lineRule="auto"/>
        <w:ind w:left="425"/>
        <w:textAlignment w:val="auto"/>
        <w:rPr>
          <w:rFonts w:hint="eastAsia" w:ascii="宋体" w:hAnsi="宋体" w:cs="Arial"/>
          <w:color w:val="auto"/>
          <w:sz w:val="24"/>
          <w:szCs w:val="24"/>
          <w:highlight w:val="none"/>
        </w:rPr>
      </w:pPr>
    </w:p>
    <w:p>
      <w:pPr>
        <w:numPr>
          <w:ilvl w:val="0"/>
          <w:numId w:val="6"/>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67" w:name="_Toc101775128"/>
      <w:bookmarkStart w:id="168" w:name="_Toc101843128"/>
      <w:bookmarkStart w:id="169" w:name="_Toc101951266"/>
      <w:bookmarkStart w:id="170" w:name="_Toc101771375"/>
      <w:bookmarkStart w:id="171" w:name="_Toc401575153"/>
      <w:bookmarkStart w:id="172" w:name="_Toc403491569"/>
      <w:r>
        <w:rPr>
          <w:rFonts w:hint="eastAsia" w:ascii="宋体" w:hAnsi="宋体"/>
          <w:b/>
          <w:color w:val="auto"/>
          <w:sz w:val="24"/>
          <w:szCs w:val="24"/>
          <w:highlight w:val="none"/>
        </w:rPr>
        <w:t>评标</w:t>
      </w:r>
      <w:bookmarkEnd w:id="157"/>
      <w:bookmarkEnd w:id="158"/>
      <w:bookmarkEnd w:id="159"/>
      <w:bookmarkEnd w:id="160"/>
      <w:bookmarkEnd w:id="161"/>
      <w:bookmarkEnd w:id="162"/>
      <w:bookmarkEnd w:id="163"/>
      <w:bookmarkEnd w:id="167"/>
      <w:bookmarkEnd w:id="168"/>
      <w:bookmarkEnd w:id="169"/>
      <w:bookmarkEnd w:id="170"/>
      <w:r>
        <w:rPr>
          <w:rFonts w:hint="eastAsia" w:ascii="宋体" w:hAnsi="宋体"/>
          <w:b/>
          <w:color w:val="auto"/>
          <w:sz w:val="24"/>
          <w:szCs w:val="24"/>
          <w:highlight w:val="none"/>
        </w:rPr>
        <w:t>委员会</w:t>
      </w:r>
      <w:bookmarkEnd w:id="171"/>
      <w:bookmarkEnd w:id="172"/>
    </w:p>
    <w:p>
      <w:pPr>
        <w:numPr>
          <w:ilvl w:val="1"/>
          <w:numId w:val="8"/>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本次招标的评标委员会</w:t>
      </w:r>
      <w:bookmarkStart w:id="173" w:name="EB1d03d29eb84a44949659850b5a6a1fbe"/>
      <w:bookmarkEnd w:id="173"/>
      <w:r>
        <w:rPr>
          <w:rFonts w:hint="eastAsia" w:ascii="宋体" w:hAnsi="宋体"/>
          <w:color w:val="auto"/>
          <w:sz w:val="24"/>
          <w:szCs w:val="24"/>
          <w:highlight w:val="none"/>
        </w:rPr>
        <w:t>从</w:t>
      </w:r>
      <w:r>
        <w:rPr>
          <w:rFonts w:hint="eastAsia" w:ascii="宋体" w:hAnsi="宋体"/>
          <w:color w:val="auto"/>
          <w:sz w:val="24"/>
          <w:szCs w:val="24"/>
          <w:highlight w:val="none"/>
          <w:lang w:eastAsia="zh-CN"/>
        </w:rPr>
        <w:t>广州市人事服务中心</w:t>
      </w:r>
      <w:r>
        <w:rPr>
          <w:rFonts w:hint="eastAsia" w:ascii="宋体" w:hAnsi="宋体"/>
          <w:color w:val="auto"/>
          <w:sz w:val="24"/>
          <w:szCs w:val="24"/>
          <w:highlight w:val="none"/>
        </w:rPr>
        <w:t>评标委员库抽取。评委会将本着公平、公正、科学、择优的原则，严格按照法律法规和招标文件设定的程序和规则推荐评审结果，任何单位和个人不得非法干预或者影响评标过程和结果。</w:t>
      </w:r>
    </w:p>
    <w:p>
      <w:pPr>
        <w:numPr>
          <w:ilvl w:val="1"/>
          <w:numId w:val="8"/>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评标委员会成员有下列情形之一的，受到邀请应主动提出回避：</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本人、配偶或直系亲属3年内曾在参加该采购项目的供应商中任职（包括一般工作）或担任顾问，或与参加该采购项目的供应商发生过法律纠纷；</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任职单位与采购人或参加该采购项目供应商存在行政隶属关系；</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曾经参加过该采购项目的进口产品或采购文件、采购需求、采购方式的论证和咨询服务工作；</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是参加该采购项目供应商的上级主管部门、控股或参股单位的工作人员，或与该供应商存在其他经济利益关系；</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评审委员会成员之间具有配偶、近亲属关系；</w:t>
      </w:r>
    </w:p>
    <w:p>
      <w:pPr>
        <w:numPr>
          <w:ilvl w:val="0"/>
          <w:numId w:val="9"/>
        </w:numPr>
        <w:tabs>
          <w:tab w:val="left" w:pos="0"/>
          <w:tab w:val="clear" w:pos="1496"/>
        </w:tabs>
        <w:topLinePunct w:val="0"/>
        <w:bidi w:val="0"/>
        <w:spacing w:line="360" w:lineRule="auto"/>
        <w:ind w:left="0" w:firstLine="426"/>
        <w:textAlignment w:val="auto"/>
        <w:rPr>
          <w:rStyle w:val="20"/>
          <w:rFonts w:hint="eastAsia" w:ascii="宋体" w:hAnsi="宋体"/>
          <w:color w:val="auto"/>
          <w:sz w:val="24"/>
          <w:szCs w:val="24"/>
          <w:highlight w:val="none"/>
        </w:rPr>
      </w:pPr>
      <w:r>
        <w:rPr>
          <w:rStyle w:val="20"/>
          <w:rFonts w:hint="eastAsia" w:ascii="宋体" w:hAnsi="宋体"/>
          <w:color w:val="auto"/>
          <w:sz w:val="24"/>
          <w:szCs w:val="24"/>
          <w:highlight w:val="none"/>
        </w:rPr>
        <w:t>法律、法规、规章规定应当回避以及其他可能影响公正评审的。</w:t>
      </w:r>
    </w:p>
    <w:p>
      <w:pPr>
        <w:numPr>
          <w:ilvl w:val="1"/>
          <w:numId w:val="8"/>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评标委员会判断投标文件的有效性、合格性和响应情况，仅依据投标人所递交一切文件的真实表述，不受与本项目无直接关联的外部信息、传言而影响自身的专业判断。</w:t>
      </w:r>
    </w:p>
    <w:p>
      <w:pPr>
        <w:numPr>
          <w:ilvl w:val="1"/>
          <w:numId w:val="8"/>
        </w:numPr>
        <w:topLinePunct w:val="0"/>
        <w:bidi w:val="0"/>
        <w:spacing w:line="360" w:lineRule="auto"/>
        <w:ind w:left="0" w:firstLine="425"/>
        <w:textAlignment w:val="auto"/>
        <w:rPr>
          <w:rFonts w:hint="eastAsia" w:ascii="宋体" w:hAnsi="宋体"/>
          <w:color w:val="auto"/>
          <w:sz w:val="24"/>
          <w:szCs w:val="24"/>
          <w:highlight w:val="none"/>
        </w:rPr>
      </w:pPr>
      <w:r>
        <w:rPr>
          <w:rFonts w:ascii="宋体" w:hAnsi="宋体"/>
          <w:color w:val="auto"/>
          <w:sz w:val="24"/>
          <w:szCs w:val="24"/>
          <w:highlight w:val="none"/>
        </w:rPr>
        <w:t>评委依法独立评审，并对评审意见承担个人责任。评委对需要共同认定的事项存在争议的，按照少数服从多数的原则做出结论。持不同意见的评委应当在评审报告上签署不同意见并说明理由，否则视为同意。</w:t>
      </w:r>
    </w:p>
    <w:p>
      <w:pPr>
        <w:topLinePunct w:val="0"/>
        <w:bidi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br w:type="page"/>
      </w:r>
    </w:p>
    <w:p>
      <w:pPr>
        <w:numPr>
          <w:ilvl w:val="0"/>
          <w:numId w:val="6"/>
        </w:numPr>
        <w:topLinePunct w:val="0"/>
        <w:bidi w:val="0"/>
        <w:spacing w:line="360" w:lineRule="auto"/>
        <w:ind w:left="567" w:hanging="27"/>
        <w:textAlignment w:val="auto"/>
        <w:outlineLvl w:val="1"/>
        <w:rPr>
          <w:rFonts w:hint="eastAsia" w:ascii="宋体" w:hAnsi="宋体"/>
          <w:b/>
          <w:color w:val="auto"/>
          <w:sz w:val="24"/>
          <w:highlight w:val="none"/>
        </w:rPr>
      </w:pPr>
      <w:bookmarkStart w:id="174" w:name="_Toc403491570"/>
      <w:bookmarkStart w:id="175" w:name="_Toc401575154"/>
      <w:r>
        <w:rPr>
          <w:rFonts w:hint="eastAsia" w:ascii="宋体" w:hAnsi="宋体"/>
          <w:b/>
          <w:color w:val="auto"/>
          <w:sz w:val="24"/>
          <w:highlight w:val="none"/>
        </w:rPr>
        <w:t>评标方法</w:t>
      </w:r>
      <w:bookmarkEnd w:id="174"/>
      <w:bookmarkEnd w:id="175"/>
    </w:p>
    <w:p>
      <w:pPr>
        <w:numPr>
          <w:ilvl w:val="0"/>
          <w:numId w:val="0"/>
        </w:numPr>
        <w:topLinePunct w:val="0"/>
        <w:bidi w:val="0"/>
        <w:spacing w:line="360" w:lineRule="auto"/>
        <w:ind w:left="420" w:leftChars="0"/>
        <w:textAlignment w:val="auto"/>
        <w:rPr>
          <w:rFonts w:hint="eastAsia" w:ascii="宋体" w:hAnsi="宋体"/>
          <w:color w:val="auto"/>
          <w:sz w:val="24"/>
          <w:szCs w:val="24"/>
          <w:highlight w:val="none"/>
        </w:rPr>
      </w:pPr>
      <w:bookmarkStart w:id="176" w:name="EB7884e410a3964767ae21e9a364dce159"/>
      <w:r>
        <w:rPr>
          <w:rFonts w:hAnsi="宋体"/>
          <w:color w:val="auto"/>
          <w:sz w:val="24"/>
          <w:highlight w:val="none"/>
        </w:rPr>
        <w:t>本次评标采用综合评分法</w:t>
      </w:r>
      <w:r>
        <w:rPr>
          <w:rFonts w:hint="eastAsia" w:hAnsi="宋体"/>
          <w:color w:val="auto"/>
          <w:sz w:val="24"/>
          <w:highlight w:val="none"/>
          <w:lang w:eastAsia="zh-CN"/>
        </w:rPr>
        <w:t>，综合得分最高为100分，具体权重分配如下：</w:t>
      </w:r>
    </w:p>
    <w:bookmarkEnd w:id="176"/>
    <w:tbl>
      <w:tblPr>
        <w:tblStyle w:val="15"/>
        <w:tblW w:w="991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653"/>
        <w:gridCol w:w="1653"/>
        <w:gridCol w:w="1653"/>
        <w:gridCol w:w="1653"/>
        <w:gridCol w:w="1653"/>
        <w:gridCol w:w="165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16"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color w:val="auto"/>
                <w:highlight w:val="none"/>
              </w:rPr>
            </w:pPr>
            <w:r>
              <w:rPr>
                <w:rFonts w:ascii="宋体" w:hAnsi="宋体" w:cs="宋体"/>
                <w:color w:val="auto"/>
                <w:sz w:val="24"/>
                <w:highlight w:val="none"/>
              </w:rPr>
              <w:t>评分项目</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eastAsia="宋体"/>
                <w:color w:val="auto"/>
                <w:highlight w:val="none"/>
                <w:lang w:val="en-US" w:eastAsia="zh-CN"/>
              </w:rPr>
            </w:pPr>
            <w:r>
              <w:rPr>
                <w:rFonts w:hint="eastAsia" w:ascii="宋体" w:hAnsi="宋体" w:cs="宋体"/>
                <w:color w:val="auto"/>
                <w:sz w:val="24"/>
                <w:highlight w:val="none"/>
              </w:rPr>
              <w:t>资质实力</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eastAsia="宋体"/>
                <w:color w:val="auto"/>
                <w:highlight w:val="none"/>
                <w:lang w:val="en-US" w:eastAsia="zh-CN"/>
              </w:rPr>
            </w:pPr>
            <w:r>
              <w:rPr>
                <w:rFonts w:hint="eastAsia" w:ascii="宋体" w:hAnsi="宋体" w:cs="宋体"/>
                <w:color w:val="auto"/>
                <w:sz w:val="24"/>
                <w:highlight w:val="none"/>
              </w:rPr>
              <w:t>课件丰富程度</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内容切合度</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视频质量</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课件价格</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权重</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5" w:hRule="atLeast"/>
        </w:trPr>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53"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pPr>
        <w:pStyle w:val="6"/>
        <w:topLinePunct w:val="0"/>
        <w:bidi w:val="0"/>
        <w:spacing w:line="360" w:lineRule="auto"/>
        <w:textAlignment w:val="auto"/>
        <w:rPr>
          <w:rFonts w:hint="eastAsia" w:ascii="宋体" w:hAnsi="宋体"/>
          <w:color w:val="auto"/>
          <w:sz w:val="24"/>
          <w:szCs w:val="24"/>
          <w:highlight w:val="none"/>
        </w:rPr>
      </w:pPr>
      <w:bookmarkStart w:id="177" w:name="_Toc101951267"/>
      <w:bookmarkStart w:id="178" w:name="_Toc101771376"/>
      <w:bookmarkStart w:id="179" w:name="_Toc101775129"/>
      <w:bookmarkStart w:id="180" w:name="_Toc101843129"/>
    </w:p>
    <w:p>
      <w:pPr>
        <w:numPr>
          <w:ilvl w:val="0"/>
          <w:numId w:val="6"/>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81" w:name="_Toc403491571"/>
      <w:bookmarkStart w:id="182" w:name="_Toc401575155"/>
      <w:r>
        <w:rPr>
          <w:rFonts w:hint="eastAsia" w:ascii="宋体" w:hAnsi="宋体"/>
          <w:b/>
          <w:color w:val="auto"/>
          <w:sz w:val="24"/>
          <w:szCs w:val="24"/>
          <w:highlight w:val="none"/>
        </w:rPr>
        <w:t>评标程序</w:t>
      </w:r>
      <w:bookmarkEnd w:id="177"/>
      <w:bookmarkEnd w:id="178"/>
      <w:bookmarkEnd w:id="179"/>
      <w:bookmarkEnd w:id="180"/>
      <w:bookmarkEnd w:id="181"/>
      <w:bookmarkEnd w:id="182"/>
    </w:p>
    <w:p>
      <w:pPr>
        <w:numPr>
          <w:ilvl w:val="0"/>
          <w:numId w:val="0"/>
        </w:numPr>
        <w:topLinePunct w:val="0"/>
        <w:bidi w:val="0"/>
        <w:spacing w:line="360" w:lineRule="auto"/>
        <w:ind w:left="210" w:leftChars="0" w:firstLine="241" w:firstLineChars="100"/>
        <w:textAlignment w:val="auto"/>
        <w:rPr>
          <w:rFonts w:hint="eastAsia" w:ascii="宋体" w:hAnsi="宋体"/>
          <w:b/>
          <w:color w:val="auto"/>
          <w:sz w:val="24"/>
          <w:szCs w:val="24"/>
          <w:highlight w:val="none"/>
        </w:rPr>
      </w:pPr>
      <w:r>
        <w:rPr>
          <w:rFonts w:hint="eastAsia" w:ascii="宋体" w:hAnsi="宋体"/>
          <w:b/>
          <w:color w:val="auto"/>
          <w:sz w:val="24"/>
          <w:szCs w:val="24"/>
          <w:highlight w:val="none"/>
          <w:lang w:eastAsia="zh-CN"/>
        </w:rPr>
        <w:t>（一）</w:t>
      </w:r>
      <w:r>
        <w:rPr>
          <w:rFonts w:hint="eastAsia" w:ascii="宋体" w:hAnsi="宋体"/>
          <w:b/>
          <w:color w:val="auto"/>
          <w:sz w:val="24"/>
          <w:szCs w:val="24"/>
          <w:highlight w:val="none"/>
        </w:rPr>
        <w:t>投标文件初审</w:t>
      </w:r>
    </w:p>
    <w:p>
      <w:pPr>
        <w:numPr>
          <w:ilvl w:val="0"/>
          <w:numId w:val="10"/>
        </w:numPr>
        <w:tabs>
          <w:tab w:val="left" w:pos="0"/>
          <w:tab w:val="clear" w:pos="840"/>
        </w:tabs>
        <w:topLinePunct w:val="0"/>
        <w:bidi w:val="0"/>
        <w:spacing w:line="360" w:lineRule="auto"/>
        <w:ind w:left="0" w:firstLine="567"/>
        <w:textAlignment w:val="auto"/>
        <w:rPr>
          <w:rFonts w:hint="eastAsia" w:ascii="宋体" w:hAnsi="宋体"/>
          <w:color w:val="auto"/>
          <w:sz w:val="24"/>
          <w:highlight w:val="none"/>
        </w:rPr>
      </w:pPr>
      <w:r>
        <w:rPr>
          <w:rFonts w:hint="eastAsia" w:ascii="宋体" w:hAnsi="宋体"/>
          <w:color w:val="auto"/>
          <w:sz w:val="24"/>
          <w:highlight w:val="none"/>
        </w:rPr>
        <w:t>评标委员会对各投标文件进行初审，初审包括开标资格性审查和符合性审查，出现不符合下列情形之一时，作无效投标处理。《初审表》如下：</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739" w:type="dxa"/>
            <w:vAlign w:val="center"/>
          </w:tcPr>
          <w:p>
            <w:pPr>
              <w:pStyle w:val="2"/>
              <w:topLinePunct w:val="0"/>
              <w:bidi w:val="0"/>
              <w:spacing w:line="360" w:lineRule="auto"/>
              <w:jc w:val="center"/>
              <w:textAlignment w:val="auto"/>
              <w:rPr>
                <w:rFonts w:hint="eastAsia" w:ascii="宋体" w:hAnsi="宋体"/>
                <w:color w:val="auto"/>
                <w:sz w:val="24"/>
                <w:highlight w:val="none"/>
                <w:vertAlign w:val="baseline"/>
              </w:rPr>
            </w:pPr>
            <w:r>
              <w:rPr>
                <w:rFonts w:ascii="宋体" w:hAnsi="宋体" w:cs="宋体"/>
                <w:color w:val="auto"/>
                <w:sz w:val="24"/>
                <w:highlight w:val="none"/>
              </w:rPr>
              <w:t>审查类别</w:t>
            </w:r>
          </w:p>
        </w:tc>
        <w:tc>
          <w:tcPr>
            <w:tcW w:w="5783" w:type="dxa"/>
            <w:vAlign w:val="center"/>
          </w:tcPr>
          <w:p>
            <w:pPr>
              <w:pStyle w:val="2"/>
              <w:topLinePunct w:val="0"/>
              <w:bidi w:val="0"/>
              <w:spacing w:line="360" w:lineRule="auto"/>
              <w:jc w:val="center"/>
              <w:textAlignment w:val="auto"/>
              <w:rPr>
                <w:rFonts w:hint="eastAsia" w:ascii="宋体" w:hAnsi="宋体"/>
                <w:color w:val="auto"/>
                <w:sz w:val="24"/>
                <w:highlight w:val="none"/>
                <w:vertAlign w:val="baseline"/>
              </w:rPr>
            </w:pPr>
            <w:r>
              <w:rPr>
                <w:rFonts w:ascii="宋体" w:hAnsi="宋体" w:cs="宋体"/>
                <w:color w:val="auto"/>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9" w:type="dxa"/>
            <w:vAlign w:val="center"/>
          </w:tcPr>
          <w:p>
            <w:pPr>
              <w:pStyle w:val="2"/>
              <w:topLinePunct w:val="0"/>
              <w:bidi w:val="0"/>
              <w:spacing w:line="360" w:lineRule="auto"/>
              <w:jc w:val="center"/>
              <w:textAlignment w:val="auto"/>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资格性审查</w:t>
            </w:r>
          </w:p>
        </w:tc>
        <w:tc>
          <w:tcPr>
            <w:tcW w:w="5783" w:type="dxa"/>
            <w:vAlign w:val="center"/>
          </w:tcPr>
          <w:p>
            <w:pPr>
              <w:topLinePunct w:val="0"/>
              <w:bidi w:val="0"/>
              <w:spacing w:line="360" w:lineRule="auto"/>
              <w:textAlignment w:val="auto"/>
              <w:rPr>
                <w:rFonts w:hint="eastAsia" w:ascii="宋体" w:hAnsi="宋体" w:cs="Arial"/>
                <w:color w:val="auto"/>
                <w:sz w:val="24"/>
                <w:szCs w:val="24"/>
                <w:highlight w:val="none"/>
              </w:rPr>
            </w:pPr>
            <w:r>
              <w:rPr>
                <w:rFonts w:ascii="宋体" w:hAnsi="宋体"/>
                <w:color w:val="auto"/>
                <w:sz w:val="24"/>
                <w:szCs w:val="24"/>
                <w:highlight w:val="none"/>
              </w:rPr>
              <w:t>（一</w:t>
            </w:r>
            <w:r>
              <w:rPr>
                <w:rFonts w:hint="eastAsia" w:ascii="宋体" w:hAnsi="宋体" w:cs="Arial"/>
                <w:color w:val="auto"/>
                <w:sz w:val="24"/>
                <w:szCs w:val="24"/>
                <w:highlight w:val="none"/>
              </w:rPr>
              <w:t>）投标人</w:t>
            </w:r>
            <w:r>
              <w:rPr>
                <w:rFonts w:hint="eastAsia" w:ascii="宋体" w:hAnsi="宋体" w:cs="Arial"/>
                <w:color w:val="auto"/>
                <w:sz w:val="24"/>
                <w:szCs w:val="24"/>
                <w:highlight w:val="none"/>
                <w:lang w:val="en-US" w:eastAsia="zh-CN"/>
              </w:rPr>
              <w:t>须为</w:t>
            </w:r>
            <w:r>
              <w:rPr>
                <w:rFonts w:hint="eastAsia" w:ascii="宋体" w:hAnsi="宋体" w:cs="Arial"/>
                <w:color w:val="auto"/>
                <w:sz w:val="24"/>
                <w:szCs w:val="24"/>
                <w:highlight w:val="none"/>
              </w:rPr>
              <w:t>中华人民共和国境内注册合法运作的企业法人或其他组织。</w:t>
            </w:r>
          </w:p>
          <w:p>
            <w:pPr>
              <w:topLinePunct w:val="0"/>
              <w:bidi w:val="0"/>
              <w:spacing w:line="360" w:lineRule="auto"/>
              <w:textAlignment w:val="auto"/>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（二）已办理报名手续的投标人。</w:t>
            </w:r>
          </w:p>
          <w:p>
            <w:pPr>
              <w:pStyle w:val="2"/>
              <w:keepNext w:val="0"/>
              <w:keepLines w:val="0"/>
              <w:pageBreakBefore w:val="0"/>
              <w:widowControl w:val="0"/>
              <w:wordWrap/>
              <w:topLinePunct w:val="0"/>
              <w:bidi w:val="0"/>
              <w:adjustRightInd/>
              <w:spacing w:line="360" w:lineRule="auto"/>
              <w:jc w:val="both"/>
              <w:textAlignment w:val="auto"/>
              <w:rPr>
                <w:rFonts w:hint="eastAsia"/>
                <w:color w:val="auto"/>
                <w:lang w:val="en-US" w:eastAsia="zh-CN"/>
              </w:rPr>
            </w:pPr>
            <w:r>
              <w:rPr>
                <w:rFonts w:hint="eastAsia" w:ascii="宋体" w:hAnsi="宋体" w:cs="Arial"/>
                <w:color w:val="auto"/>
                <w:sz w:val="24"/>
                <w:szCs w:val="24"/>
                <w:highlight w:val="none"/>
                <w:lang w:val="en-US" w:eastAsia="zh-CN"/>
              </w:rPr>
              <w:t>（三）投标人没有处于被责令停业或破产状态，且资产未被重组、接管和冻结，声明在投标活动中3年内没有重大违法活动和涉嫌违规行为。</w:t>
            </w:r>
          </w:p>
          <w:p>
            <w:pPr>
              <w:keepNext w:val="0"/>
              <w:keepLines w:val="0"/>
              <w:pageBreakBefore w:val="0"/>
              <w:widowControl w:val="0"/>
              <w:wordWrap/>
              <w:topLinePunct w:val="0"/>
              <w:bidi w:val="0"/>
              <w:adjustRightInd/>
              <w:spacing w:line="360" w:lineRule="auto"/>
              <w:textAlignment w:val="auto"/>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（四）投标人承诺遵守采购人提出的保密要求。</w:t>
            </w:r>
          </w:p>
          <w:p>
            <w:pPr>
              <w:topLinePunct w:val="0"/>
              <w:bidi w:val="0"/>
              <w:spacing w:line="360" w:lineRule="auto"/>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五</w:t>
            </w:r>
            <w:r>
              <w:rPr>
                <w:rFonts w:hint="eastAsia" w:ascii="宋体" w:hAnsi="宋体" w:cs="Arial"/>
                <w:color w:val="auto"/>
                <w:sz w:val="24"/>
                <w:szCs w:val="24"/>
                <w:highlight w:val="none"/>
              </w:rPr>
              <w:t>）非联合体投标。</w:t>
            </w:r>
          </w:p>
          <w:p>
            <w:pPr>
              <w:topLinePunct w:val="0"/>
              <w:bidi w:val="0"/>
              <w:spacing w:line="360" w:lineRule="auto"/>
              <w:jc w:val="left"/>
              <w:textAlignment w:val="auto"/>
              <w:rPr>
                <w:rFonts w:hint="eastAsia" w:ascii="Calibri" w:hAnsi="Calibri" w:eastAsia="宋体"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9" w:type="dxa"/>
            <w:vAlign w:val="center"/>
          </w:tcPr>
          <w:p>
            <w:pPr>
              <w:pStyle w:val="2"/>
              <w:keepNext w:val="0"/>
              <w:keepLines w:val="0"/>
              <w:pageBreakBefore w:val="0"/>
              <w:widowControl w:val="0"/>
              <w:wordWrap/>
              <w:topLinePunct w:val="0"/>
              <w:bidi w:val="0"/>
              <w:adjustRightIn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符合性审查</w:t>
            </w:r>
          </w:p>
        </w:tc>
        <w:tc>
          <w:tcPr>
            <w:tcW w:w="5783" w:type="dxa"/>
            <w:vAlign w:val="center"/>
          </w:tcPr>
          <w:p>
            <w:pPr>
              <w:keepNext w:val="0"/>
              <w:keepLines w:val="0"/>
              <w:pageBreakBefore w:val="0"/>
              <w:widowControl w:val="0"/>
              <w:wordWrap/>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有盖章、签署要求的带★格式文件已按要求盖章、签署</w:t>
            </w:r>
          </w:p>
          <w:p>
            <w:pPr>
              <w:keepNext w:val="0"/>
              <w:keepLines w:val="0"/>
              <w:pageBreakBefore w:val="0"/>
              <w:widowControl w:val="0"/>
              <w:wordWrap/>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投标文件完全满足招标文件中带★号的条款和指标，无重大偏离(审查《实质性响应条款一览表》)</w:t>
            </w:r>
          </w:p>
          <w:p>
            <w:pPr>
              <w:pStyle w:val="2"/>
              <w:keepNext w:val="0"/>
              <w:keepLines w:val="0"/>
              <w:pageBreakBefore w:val="0"/>
              <w:widowControl w:val="0"/>
              <w:wordWrap/>
              <w:topLinePunct w:val="0"/>
              <w:bidi w:val="0"/>
              <w:adjustRightIn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未发现属无效投标的其他情形（见表末说明）</w:t>
            </w:r>
          </w:p>
        </w:tc>
      </w:tr>
    </w:tbl>
    <w:p>
      <w:pPr>
        <w:tabs>
          <w:tab w:val="left" w:pos="0"/>
          <w:tab w:val="left" w:pos="720"/>
          <w:tab w:val="left" w:pos="1080"/>
        </w:tabs>
        <w:topLinePunct w:val="0"/>
        <w:bidi w:val="0"/>
        <w:spacing w:line="360" w:lineRule="auto"/>
        <w:ind w:left="420"/>
        <w:textAlignment w:val="auto"/>
        <w:rPr>
          <w:rFonts w:hint="eastAsia" w:ascii="宋体" w:hAnsi="宋体"/>
          <w:b/>
          <w:color w:val="auto"/>
          <w:sz w:val="24"/>
          <w:szCs w:val="24"/>
          <w:highlight w:val="none"/>
        </w:rPr>
      </w:pPr>
      <w:r>
        <w:rPr>
          <w:rFonts w:hint="eastAsia" w:ascii="宋体" w:hAnsi="宋体"/>
          <w:b/>
          <w:color w:val="auto"/>
          <w:sz w:val="24"/>
          <w:szCs w:val="24"/>
          <w:highlight w:val="none"/>
        </w:rPr>
        <w:t>说明：</w:t>
      </w:r>
    </w:p>
    <w:p>
      <w:pPr>
        <w:tabs>
          <w:tab w:val="left" w:pos="0"/>
          <w:tab w:val="left" w:pos="720"/>
          <w:tab w:val="left" w:pos="1080"/>
        </w:tabs>
        <w:topLinePunct w:val="0"/>
        <w:bidi w:val="0"/>
        <w:spacing w:line="360" w:lineRule="auto"/>
        <w:ind w:left="420"/>
        <w:textAlignment w:val="auto"/>
        <w:rPr>
          <w:rFonts w:hint="eastAsia" w:ascii="宋体" w:hAnsi="宋体"/>
          <w:b/>
          <w:color w:val="auto"/>
          <w:sz w:val="24"/>
          <w:szCs w:val="24"/>
          <w:highlight w:val="none"/>
        </w:rPr>
      </w:pPr>
      <w:r>
        <w:rPr>
          <w:rFonts w:hint="eastAsia" w:ascii="宋体" w:hAnsi="宋体"/>
          <w:b/>
          <w:color w:val="auto"/>
          <w:sz w:val="24"/>
          <w:szCs w:val="24"/>
          <w:highlight w:val="none"/>
        </w:rPr>
        <w:t>1.以下为属无效投标的其他情形。</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联合体投标，</w:t>
      </w:r>
      <w:r>
        <w:rPr>
          <w:rFonts w:hAnsi="宋体"/>
          <w:color w:val="auto"/>
          <w:sz w:val="24"/>
          <w:szCs w:val="24"/>
          <w:highlight w:val="none"/>
        </w:rPr>
        <w:t>法定代表人</w:t>
      </w:r>
      <w:r>
        <w:rPr>
          <w:rFonts w:hint="eastAsia" w:hAnsi="宋体"/>
          <w:color w:val="auto"/>
          <w:sz w:val="24"/>
          <w:szCs w:val="24"/>
          <w:highlight w:val="none"/>
        </w:rPr>
        <w:t>或单位负责人</w:t>
      </w:r>
      <w:r>
        <w:rPr>
          <w:rFonts w:hAnsi="宋体"/>
          <w:color w:val="auto"/>
          <w:sz w:val="24"/>
          <w:szCs w:val="24"/>
          <w:highlight w:val="none"/>
        </w:rPr>
        <w:t>为同一个人</w:t>
      </w:r>
      <w:r>
        <w:rPr>
          <w:rFonts w:hint="eastAsia" w:hAnsi="宋体"/>
          <w:color w:val="auto"/>
          <w:sz w:val="24"/>
          <w:szCs w:val="24"/>
          <w:highlight w:val="none"/>
        </w:rPr>
        <w:t>或者存在直接控股、管理关系</w:t>
      </w:r>
      <w:r>
        <w:rPr>
          <w:rFonts w:hAnsi="宋体"/>
          <w:color w:val="auto"/>
          <w:sz w:val="24"/>
          <w:szCs w:val="24"/>
          <w:highlight w:val="none"/>
        </w:rPr>
        <w:t>的</w:t>
      </w:r>
      <w:r>
        <w:rPr>
          <w:rFonts w:hint="eastAsia" w:hAnsi="宋体"/>
          <w:color w:val="auto"/>
          <w:sz w:val="24"/>
          <w:szCs w:val="24"/>
          <w:highlight w:val="none"/>
        </w:rPr>
        <w:t>不同供应商</w:t>
      </w:r>
      <w:r>
        <w:rPr>
          <w:rFonts w:hAnsi="宋体"/>
          <w:color w:val="auto"/>
          <w:sz w:val="24"/>
          <w:szCs w:val="24"/>
          <w:highlight w:val="none"/>
        </w:rPr>
        <w:t>，同时参加</w:t>
      </w:r>
      <w:r>
        <w:rPr>
          <w:rFonts w:hint="eastAsia" w:hAnsi="宋体"/>
          <w:color w:val="auto"/>
          <w:sz w:val="24"/>
          <w:szCs w:val="24"/>
          <w:highlight w:val="none"/>
        </w:rPr>
        <w:t>本</w:t>
      </w:r>
      <w:r>
        <w:rPr>
          <w:rFonts w:hAnsi="宋体"/>
          <w:color w:val="auto"/>
          <w:sz w:val="24"/>
          <w:szCs w:val="24"/>
          <w:highlight w:val="none"/>
        </w:rPr>
        <w:t>项目投标的</w:t>
      </w:r>
      <w:r>
        <w:rPr>
          <w:rFonts w:hint="eastAsia" w:hAnsi="宋体"/>
          <w:color w:val="auto"/>
          <w:sz w:val="24"/>
          <w:szCs w:val="24"/>
          <w:highlight w:val="none"/>
        </w:rPr>
        <w:t>；</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评标期间，投标人没有按评标委员会的要求提交法定代表人或其委托代理人签字的澄清、说明、补正或改变了投标文件的实质性内容的；</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投标文件提供虚假材料的；</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投标人以他人的名义投标、串通投标、以行贿手段谋取中标或者以其他弄虚作假方式投标的；</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投标人对采购人、广州市人事服务中心、评标委员会及其工作人员施加影响，有碍招标公平、公正的；</w:t>
      </w:r>
    </w:p>
    <w:p>
      <w:pPr>
        <w:keepNext w:val="0"/>
        <w:keepLines w:val="0"/>
        <w:pageBreakBefore w:val="0"/>
        <w:widowControl w:val="0"/>
        <w:numPr>
          <w:ilvl w:val="1"/>
          <w:numId w:val="1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按有关法律、法规、规章规定属于无效投标的。</w:t>
      </w:r>
    </w:p>
    <w:p>
      <w:pPr>
        <w:keepNext w:val="0"/>
        <w:keepLines w:val="0"/>
        <w:pageBreakBefore w:val="0"/>
        <w:widowControl w:val="0"/>
        <w:numPr>
          <w:ilvl w:val="0"/>
          <w:numId w:val="10"/>
        </w:numPr>
        <w:tabs>
          <w:tab w:val="left" w:pos="0"/>
          <w:tab w:val="left" w:pos="720"/>
          <w:tab w:val="left" w:pos="1080"/>
          <w:tab w:val="clear" w:pos="840"/>
        </w:tabs>
        <w:kinsoku/>
        <w:wordWrap/>
        <w:overflowPunct/>
        <w:topLinePunct w:val="0"/>
        <w:bidi w:val="0"/>
        <w:spacing w:line="360" w:lineRule="auto"/>
        <w:ind w:left="0" w:firstLine="42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评标委员会以“信用中国”网站（www.creditchina.gov.cn）为查询渠道，对各供应商信用记录进行甄别，对列入失信被执行人、重大税收违法案件当事人名单、政府采购严重违法失信行为记录名单的供应商，应当拒绝其参与政府采购活动。</w:t>
      </w:r>
    </w:p>
    <w:p>
      <w:pPr>
        <w:keepNext w:val="0"/>
        <w:keepLines w:val="0"/>
        <w:pageBreakBefore w:val="0"/>
        <w:widowControl w:val="0"/>
        <w:numPr>
          <w:ilvl w:val="0"/>
          <w:numId w:val="10"/>
        </w:numPr>
        <w:tabs>
          <w:tab w:val="left" w:pos="0"/>
          <w:tab w:val="left" w:pos="720"/>
          <w:tab w:val="left" w:pos="1080"/>
          <w:tab w:val="clear" w:pos="840"/>
        </w:tabs>
        <w:kinsoku/>
        <w:wordWrap/>
        <w:overflowPunct/>
        <w:topLinePunct w:val="0"/>
        <w:bidi w:val="0"/>
        <w:spacing w:line="360" w:lineRule="auto"/>
        <w:ind w:left="0" w:firstLine="42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不通过初审或投标无效的，不进入技术、商务的评审程序。</w:t>
      </w:r>
      <w:bookmarkStart w:id="183" w:name="EBdfc96280f5f74c8eafebc1d3e5c543d4"/>
      <w:r>
        <w:rPr>
          <w:rFonts w:ascii="宋体" w:hAnsi="宋体"/>
          <w:color w:val="auto"/>
          <w:sz w:val="20"/>
          <w:szCs w:val="24"/>
          <w:highlight w:val="none"/>
        </w:rPr>
        <w:t xml:space="preserve"> </w:t>
      </w:r>
      <w:bookmarkEnd w:id="183"/>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bookmarkStart w:id="184" w:name="EBe5618b7122ed451d9b44d30000728c92"/>
      <w:r>
        <w:rPr>
          <w:rFonts w:hint="eastAsia" w:asciiTheme="minorEastAsia" w:hAnsiTheme="minorEastAsia" w:eastAsiaTheme="minorEastAsia" w:cstheme="minorEastAsia"/>
          <w:b/>
          <w:bCs/>
          <w:color w:val="auto"/>
          <w:sz w:val="24"/>
          <w:szCs w:val="24"/>
          <w:highlight w:val="none"/>
          <w:lang w:eastAsia="zh-CN"/>
        </w:rPr>
        <w:t>（二）评分项目部分</w:t>
      </w:r>
      <w:r>
        <w:rPr>
          <w:rFonts w:hint="eastAsia" w:asciiTheme="minorEastAsia" w:hAnsiTheme="minorEastAsia" w:eastAsiaTheme="minorEastAsia" w:cstheme="minorEastAsia"/>
          <w:color w:val="auto"/>
          <w:sz w:val="24"/>
          <w:szCs w:val="24"/>
          <w:highlight w:val="none"/>
        </w:rPr>
        <w:t xml:space="preserve"> </w:t>
      </w:r>
      <w:bookmarkEnd w:id="184"/>
      <w:bookmarkStart w:id="185" w:name="EB54dee7489bb143a3b70afe67eaed7f84"/>
      <w:r>
        <w:rPr>
          <w:rFonts w:hint="eastAsia" w:asciiTheme="minorEastAsia" w:hAnsiTheme="minorEastAsia" w:eastAsiaTheme="minorEastAsia" w:cstheme="minorEastAsia"/>
          <w:color w:val="auto"/>
          <w:sz w:val="24"/>
          <w:szCs w:val="24"/>
          <w:highlight w:val="none"/>
        </w:rPr>
        <w:t xml:space="preserve"> </w:t>
      </w:r>
      <w:bookmarkEnd w:id="185"/>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1.资质实力：供应商具有网络资源销售项目业绩的，得8分；提供的课程师资全部为正副高职称的得2分，不满足不得分。</w:t>
      </w:r>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2.课件丰富程度：供应商提供的课程能全部满足本次招标课程类别需求的得10分，部分满足得5分，完全不满足不得分。</w:t>
      </w:r>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内容切合度：供应商提供的课程内容能切合党和国家相关政策，经济和社会发展的热点问题、现实问题和本次网络培训专题内容需要的课程。根据切合度进行打分，切合度高得50分，切合度一般得30分，切合度较低得15分。</w:t>
      </w:r>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视频质量：供应商的提供的课程视频分辨率需为720P，视频格式为MP4格式，H264/AVC编号，视频码率不低于1M，需保证画面和声音清晰。课程配套提供PPT、课程全文（word版本）、课程简介（每门课不少于100字）、考题（excel版，每门课不少于12题）。</w:t>
      </w:r>
    </w:p>
    <w:p>
      <w:pPr>
        <w:tabs>
          <w:tab w:val="left" w:pos="0"/>
          <w:tab w:val="left" w:pos="720"/>
          <w:tab w:val="left" w:pos="1080"/>
        </w:tabs>
        <w:topLinePunct w:val="0"/>
        <w:bidi w:val="0"/>
        <w:spacing w:line="360" w:lineRule="auto"/>
        <w:ind w:left="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5.课件价格：最低的报价为基准价，其价格分为满分；其他报价得分按如下公式计算：报价得分=（基准价/报价）×20%×100。</w:t>
      </w:r>
    </w:p>
    <w:p>
      <w:pPr>
        <w:topLinePunct w:val="0"/>
        <w:bidi w:val="0"/>
        <w:spacing w:line="360" w:lineRule="auto"/>
        <w:textAlignment w:val="auto"/>
        <w:rPr>
          <w:rFonts w:hint="eastAsia" w:ascii="宋体" w:hAnsi="宋体"/>
          <w:b/>
          <w:color w:val="auto"/>
          <w:sz w:val="24"/>
          <w:szCs w:val="24"/>
          <w:highlight w:val="none"/>
        </w:rPr>
      </w:pPr>
      <w:bookmarkStart w:id="186" w:name="EBbc13eeddc4464735ae13420033193866"/>
      <w:r>
        <w:rPr>
          <w:rFonts w:hint="eastAsia" w:ascii="宋体" w:hAnsi="宋体"/>
          <w:color w:val="auto"/>
          <w:sz w:val="20"/>
          <w:highlight w:val="none"/>
        </w:rPr>
        <w:t xml:space="preserve"> </w:t>
      </w:r>
      <w:bookmarkEnd w:id="186"/>
      <w:bookmarkStart w:id="187" w:name="EBfd9dabb758d7445da1b344286b0368d5"/>
      <w:r>
        <w:rPr>
          <w:rFonts w:ascii="宋体" w:hAnsi="宋体"/>
          <w:color w:val="auto"/>
          <w:sz w:val="24"/>
          <w:szCs w:val="24"/>
          <w:highlight w:val="none"/>
        </w:rPr>
        <w:t xml:space="preserve"> </w:t>
      </w:r>
      <w:bookmarkEnd w:id="187"/>
      <w:r>
        <w:rPr>
          <w:rFonts w:hint="eastAsia" w:ascii="宋体" w:hAnsi="宋体"/>
          <w:color w:val="auto"/>
          <w:sz w:val="24"/>
          <w:szCs w:val="24"/>
          <w:highlight w:val="none"/>
          <w:lang w:val="en-US" w:eastAsia="zh-CN"/>
        </w:rPr>
        <w:t xml:space="preserve"> </w:t>
      </w: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综合评分的计算</w:t>
      </w:r>
    </w:p>
    <w:p>
      <w:pPr>
        <w:numPr>
          <w:ilvl w:val="2"/>
          <w:numId w:val="12"/>
        </w:numPr>
        <w:tabs>
          <w:tab w:val="left" w:pos="720"/>
        </w:tabs>
        <w:topLinePunct w:val="0"/>
        <w:bidi w:val="0"/>
        <w:spacing w:line="360" w:lineRule="auto"/>
        <w:ind w:left="0" w:firstLine="360"/>
        <w:textAlignment w:val="auto"/>
        <w:rPr>
          <w:rStyle w:val="20"/>
          <w:rFonts w:hint="eastAsia" w:ascii="宋体" w:hAnsi="宋体"/>
          <w:color w:val="auto"/>
          <w:sz w:val="24"/>
          <w:szCs w:val="24"/>
          <w:highlight w:val="none"/>
        </w:rPr>
      </w:pPr>
      <w:bookmarkStart w:id="188" w:name="EB067d940baba349e582b898bfd18c9719"/>
      <w:r>
        <w:rPr>
          <w:rFonts w:ascii="宋体" w:hAnsi="宋体" w:cs="宋体"/>
          <w:color w:val="auto"/>
          <w:sz w:val="24"/>
          <w:highlight w:val="none"/>
        </w:rPr>
        <w:t>综合评分=</w:t>
      </w:r>
      <w:r>
        <w:rPr>
          <w:rFonts w:hint="eastAsia" w:ascii="宋体" w:hAnsi="宋体" w:cs="宋体"/>
          <w:color w:val="auto"/>
          <w:sz w:val="24"/>
          <w:highlight w:val="none"/>
        </w:rPr>
        <w:t>资质实力</w:t>
      </w:r>
      <w:r>
        <w:rPr>
          <w:rFonts w:hint="eastAsia" w:ascii="宋体" w:hAnsi="宋体" w:cs="宋体"/>
          <w:color w:val="auto"/>
          <w:sz w:val="24"/>
          <w:highlight w:val="none"/>
          <w:lang w:eastAsia="zh-CN"/>
        </w:rPr>
        <w:t>评分</w:t>
      </w:r>
      <w:r>
        <w:rPr>
          <w:rFonts w:ascii="宋体" w:hAnsi="宋体" w:cs="宋体"/>
          <w:color w:val="auto"/>
          <w:sz w:val="24"/>
          <w:highlight w:val="none"/>
        </w:rPr>
        <w:t>+</w:t>
      </w:r>
      <w:r>
        <w:rPr>
          <w:rFonts w:hint="eastAsia" w:ascii="宋体" w:hAnsi="宋体" w:cs="宋体"/>
          <w:color w:val="auto"/>
          <w:sz w:val="24"/>
          <w:highlight w:val="none"/>
        </w:rPr>
        <w:t>课件丰富程度</w:t>
      </w:r>
      <w:r>
        <w:rPr>
          <w:rFonts w:ascii="宋体" w:hAnsi="宋体" w:cs="宋体"/>
          <w:color w:val="auto"/>
          <w:sz w:val="24"/>
          <w:highlight w:val="none"/>
        </w:rPr>
        <w:t>评分</w:t>
      </w:r>
      <w:bookmarkEnd w:id="188"/>
      <w:bookmarkStart w:id="189" w:name="EB42fa6b65a45d4e4db22dc9ffb8f38a6b"/>
      <w:r>
        <w:rPr>
          <w:rFonts w:hint="eastAsia" w:ascii="宋体" w:hAnsi="宋体" w:cs="宋体"/>
          <w:color w:val="auto"/>
          <w:sz w:val="24"/>
          <w:highlight w:val="none"/>
          <w:lang w:val="en-US" w:eastAsia="zh-CN"/>
        </w:rPr>
        <w:t>+内容切合度评分+视频质量评分+课件价格报价评分。</w:t>
      </w:r>
    </w:p>
    <w:p>
      <w:pPr>
        <w:numPr>
          <w:ilvl w:val="2"/>
          <w:numId w:val="12"/>
        </w:numPr>
        <w:tabs>
          <w:tab w:val="left" w:pos="720"/>
        </w:tabs>
        <w:topLinePunct w:val="0"/>
        <w:bidi w:val="0"/>
        <w:spacing w:line="360" w:lineRule="auto"/>
        <w:ind w:left="0" w:firstLine="360"/>
        <w:textAlignment w:val="auto"/>
        <w:rPr>
          <w:rFonts w:hint="eastAsia" w:ascii="宋体" w:hAnsi="宋体" w:eastAsia="宋体" w:cs="宋体"/>
          <w:bCs w:val="0"/>
          <w:color w:val="auto"/>
          <w:kern w:val="2"/>
          <w:sz w:val="24"/>
          <w:szCs w:val="22"/>
          <w:highlight w:val="none"/>
          <w:lang w:val="en-US" w:eastAsia="zh-CN" w:bidi="ar-SA"/>
        </w:rPr>
      </w:pPr>
      <w:r>
        <w:rPr>
          <w:rFonts w:ascii="宋体" w:hAnsi="宋体" w:cs="宋体"/>
          <w:color w:val="auto"/>
          <w:sz w:val="24"/>
          <w:highlight w:val="none"/>
        </w:rPr>
        <w:t>各项得分按四舍五入原则精确到小数点后两位。将综合评分由高到低顺序排列。综合评分相同，</w:t>
      </w:r>
      <w:r>
        <w:rPr>
          <w:rFonts w:hint="eastAsia" w:ascii="宋体" w:hAnsi="宋体" w:cs="宋体"/>
          <w:color w:val="auto"/>
          <w:sz w:val="24"/>
          <w:highlight w:val="none"/>
          <w:lang w:eastAsia="zh-CN"/>
        </w:rPr>
        <w:t>按内容切合度评分由高到低顺序排列；综合评分相同的，且内容切合度评分相同的，按课件价格报价由低到高顺序排列；综合评分相同，且内容切合度和价格报价评分相同的，按课件丰富程度评分由高到低顺序排列；综合评分相同，且内容切合度、价格报价和课件丰富程度评分相同的，按视频质量评分由高到低顺序排列；综合评分相同，且内容切合度、价格报价、课件丰富程度和视频质量评分相同的，按资质实力评分由高到低顺序排列；综合评分相同，且内容切合度、价格报价、课件丰富程度、视频质量和资质实力评分相同的，名次由评委会抽签决定</w:t>
      </w:r>
      <w:r>
        <w:rPr>
          <w:rFonts w:ascii="宋体" w:hAnsi="宋体" w:cs="宋体"/>
          <w:color w:val="auto"/>
          <w:sz w:val="24"/>
          <w:highlight w:val="none"/>
        </w:rPr>
        <w:t>。</w:t>
      </w:r>
      <w:r>
        <w:rPr>
          <w:rFonts w:ascii="宋体" w:hAnsi="宋体"/>
          <w:color w:val="auto"/>
          <w:sz w:val="20"/>
          <w:szCs w:val="24"/>
          <w:highlight w:val="none"/>
        </w:rPr>
        <w:t xml:space="preserve"> </w:t>
      </w:r>
      <w:bookmarkEnd w:id="189"/>
      <w:r>
        <w:rPr>
          <w:rFonts w:hint="eastAsia" w:ascii="宋体" w:hAnsi="宋体"/>
          <w:color w:val="auto"/>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beforeLines="0" w:afterLines="0"/>
        <w:textAlignment w:val="auto"/>
        <w:outlineLvl w:val="9"/>
        <w:rPr>
          <w:rFonts w:hint="eastAsia"/>
        </w:rPr>
      </w:pPr>
    </w:p>
    <w:p>
      <w:pPr>
        <w:numPr>
          <w:ilvl w:val="0"/>
          <w:numId w:val="0"/>
        </w:numPr>
        <w:topLinePunct w:val="0"/>
        <w:bidi w:val="0"/>
        <w:spacing w:line="360" w:lineRule="auto"/>
        <w:ind w:left="210" w:leftChars="0"/>
        <w:textAlignment w:val="auto"/>
        <w:rPr>
          <w:rFonts w:hint="eastAsia" w:ascii="宋体" w:hAnsi="宋体"/>
          <w:b/>
          <w:color w:val="auto"/>
          <w:sz w:val="24"/>
          <w:szCs w:val="24"/>
          <w:highlight w:val="none"/>
        </w:rPr>
      </w:pPr>
      <w:r>
        <w:rPr>
          <w:rFonts w:hint="eastAsia" w:ascii="宋体" w:hAnsi="宋体"/>
          <w:b/>
          <w:color w:val="auto"/>
          <w:sz w:val="24"/>
          <w:szCs w:val="24"/>
          <w:highlight w:val="none"/>
          <w:lang w:eastAsia="zh-CN"/>
        </w:rPr>
        <w:t>（四）</w:t>
      </w:r>
      <w:r>
        <w:rPr>
          <w:rFonts w:hint="eastAsia" w:ascii="宋体" w:hAnsi="宋体"/>
          <w:b/>
          <w:color w:val="auto"/>
          <w:sz w:val="24"/>
          <w:szCs w:val="24"/>
          <w:highlight w:val="none"/>
        </w:rPr>
        <w:t>中标供应商推荐</w:t>
      </w:r>
    </w:p>
    <w:p>
      <w:pPr>
        <w:pStyle w:val="14"/>
        <w:keepNext w:val="0"/>
        <w:keepLines w:val="0"/>
        <w:pageBreakBefore w:val="0"/>
        <w:widowControl w:val="0"/>
        <w:numPr>
          <w:ilvl w:val="0"/>
          <w:numId w:val="13"/>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bookmarkStart w:id="190" w:name="EBd7f9f598bac24c64ae8c65d2f25d20eb"/>
      <w:r>
        <w:rPr>
          <w:rFonts w:hint="eastAsia" w:ascii="宋体" w:hAnsi="宋体" w:eastAsia="宋体" w:cs="宋体"/>
          <w:bCs w:val="0"/>
          <w:color w:val="auto"/>
          <w:kern w:val="2"/>
          <w:sz w:val="24"/>
          <w:szCs w:val="22"/>
          <w:highlight w:val="none"/>
          <w:lang w:val="en-US" w:eastAsia="zh-CN" w:bidi="ar-SA"/>
        </w:rPr>
        <w:t>本项目评标委员会按综合总得分排序推荐二名中标候选人。</w:t>
      </w:r>
    </w:p>
    <w:p>
      <w:pPr>
        <w:pStyle w:val="14"/>
        <w:keepNext w:val="0"/>
        <w:keepLines w:val="0"/>
        <w:pageBreakBefore w:val="0"/>
        <w:widowControl w:val="0"/>
        <w:numPr>
          <w:ilvl w:val="0"/>
          <w:numId w:val="13"/>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kern w:val="2"/>
          <w:sz w:val="24"/>
          <w:szCs w:val="22"/>
          <w:highlight w:val="none"/>
          <w:lang w:val="en-US" w:eastAsia="zh-CN" w:bidi="ar-SA"/>
        </w:rPr>
        <w:t>评标结果按评审后得分由高到低顺序排列，得分最高的投标人为排名第一的中标候选人，排名第二的为第二中标候选人。总得分相同的，按上述第（三）综合评分的计算方式条款由高到低顺序排列。</w:t>
      </w:r>
    </w:p>
    <w:p>
      <w:pPr>
        <w:pStyle w:val="14"/>
        <w:keepNext w:val="0"/>
        <w:keepLines w:val="0"/>
        <w:pageBreakBefore w:val="0"/>
        <w:widowControl w:val="0"/>
        <w:numPr>
          <w:ilvl w:val="0"/>
          <w:numId w:val="13"/>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kern w:val="2"/>
          <w:sz w:val="24"/>
          <w:szCs w:val="22"/>
          <w:highlight w:val="none"/>
          <w:lang w:val="en-US" w:eastAsia="zh-CN" w:bidi="ar-SA"/>
        </w:rPr>
        <w:t xml:space="preserve"> 第一中标候选人无正当理由不得随意放弃中标资格。 </w:t>
      </w:r>
      <w:bookmarkEnd w:id="190"/>
    </w:p>
    <w:p>
      <w:pPr>
        <w:topLinePunct w:val="0"/>
        <w:bidi w:val="0"/>
        <w:spacing w:line="360" w:lineRule="auto"/>
        <w:textAlignment w:val="auto"/>
        <w:rPr>
          <w:rFonts w:hint="eastAsia" w:ascii="宋体" w:hAnsi="宋体"/>
          <w:color w:val="auto"/>
          <w:highlight w:val="none"/>
        </w:rPr>
      </w:pPr>
      <w:bookmarkStart w:id="191" w:name="EBa996e059d71043c2bfafb4e91fe3933d"/>
      <w:r>
        <w:rPr>
          <w:rFonts w:hint="eastAsia" w:ascii="宋体" w:hAnsi="宋体"/>
          <w:color w:val="auto"/>
          <w:sz w:val="20"/>
          <w:highlight w:val="none"/>
        </w:rPr>
        <w:t xml:space="preserve"> </w:t>
      </w:r>
      <w:bookmarkEnd w:id="191"/>
    </w:p>
    <w:p>
      <w:pPr>
        <w:numPr>
          <w:ilvl w:val="0"/>
          <w:numId w:val="6"/>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92" w:name="_Toc403491572"/>
      <w:bookmarkStart w:id="193" w:name="_Toc101951268"/>
      <w:bookmarkStart w:id="194" w:name="_Toc101775130"/>
      <w:bookmarkStart w:id="195" w:name="_Toc101771377"/>
      <w:bookmarkStart w:id="196" w:name="_Toc101843130"/>
      <w:bookmarkStart w:id="197" w:name="_Toc401575156"/>
      <w:r>
        <w:rPr>
          <w:rFonts w:hint="eastAsia" w:ascii="宋体" w:hAnsi="宋体"/>
          <w:b/>
          <w:color w:val="auto"/>
          <w:sz w:val="24"/>
          <w:szCs w:val="24"/>
          <w:highlight w:val="none"/>
        </w:rPr>
        <w:t>项目废标处理</w:t>
      </w:r>
      <w:bookmarkEnd w:id="192"/>
      <w:bookmarkEnd w:id="193"/>
      <w:bookmarkEnd w:id="194"/>
      <w:bookmarkEnd w:id="195"/>
      <w:bookmarkEnd w:id="196"/>
      <w:bookmarkEnd w:id="197"/>
    </w:p>
    <w:p>
      <w:pPr>
        <w:topLinePunct w:val="0"/>
        <w:bidi w:val="0"/>
        <w:spacing w:line="360" w:lineRule="auto"/>
        <w:ind w:firstLine="540" w:firstLineChars="225"/>
        <w:textAlignment w:val="auto"/>
        <w:rPr>
          <w:rFonts w:hint="eastAsia" w:ascii="宋体" w:hAnsi="宋体"/>
          <w:color w:val="auto"/>
          <w:sz w:val="24"/>
          <w:szCs w:val="24"/>
          <w:highlight w:val="none"/>
        </w:rPr>
      </w:pPr>
      <w:r>
        <w:rPr>
          <w:rFonts w:hint="eastAsia" w:ascii="宋体" w:hAnsi="宋体"/>
          <w:color w:val="auto"/>
          <w:sz w:val="24"/>
          <w:szCs w:val="24"/>
          <w:highlight w:val="none"/>
        </w:rPr>
        <w:t>根据《政府采购法》第三十六条规定，本项目或子项目下列情况出现将作废标处理：</w:t>
      </w:r>
    </w:p>
    <w:p>
      <w:pPr>
        <w:keepNext w:val="0"/>
        <w:keepLines w:val="0"/>
        <w:pageBreakBefore w:val="0"/>
        <w:widowControl w:val="0"/>
        <w:numPr>
          <w:ilvl w:val="1"/>
          <w:numId w:val="14"/>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符合专业资格条件的投标人或者对招标文件作实质响应的有效投标人不足三家的</w:t>
      </w:r>
      <w:bookmarkStart w:id="198" w:name="EB7e063bb4e89549d28121d2674922c4fe"/>
      <w:bookmarkEnd w:id="198"/>
      <w:r>
        <w:rPr>
          <w:rFonts w:hint="eastAsia" w:hAnsi="宋体"/>
          <w:color w:val="auto"/>
          <w:sz w:val="24"/>
          <w:szCs w:val="24"/>
          <w:highlight w:val="none"/>
        </w:rPr>
        <w:t>；</w:t>
      </w:r>
    </w:p>
    <w:p>
      <w:pPr>
        <w:keepNext w:val="0"/>
        <w:keepLines w:val="0"/>
        <w:pageBreakBefore w:val="0"/>
        <w:widowControl w:val="0"/>
        <w:numPr>
          <w:ilvl w:val="1"/>
          <w:numId w:val="14"/>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 xml:space="preserve">出现影响采购公正的违法、违规行为的； </w:t>
      </w:r>
    </w:p>
    <w:p>
      <w:pPr>
        <w:keepNext w:val="0"/>
        <w:keepLines w:val="0"/>
        <w:pageBreakBefore w:val="0"/>
        <w:widowControl w:val="0"/>
        <w:numPr>
          <w:ilvl w:val="1"/>
          <w:numId w:val="14"/>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 xml:space="preserve">因重大变故，采购任务取消的。 </w:t>
      </w:r>
    </w:p>
    <w:bookmarkEnd w:id="164"/>
    <w:bookmarkEnd w:id="165"/>
    <w:bookmarkEnd w:id="166"/>
    <w:p>
      <w:pPr>
        <w:numPr>
          <w:ilvl w:val="0"/>
          <w:numId w:val="6"/>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99" w:name="_Toc101843131"/>
      <w:bookmarkStart w:id="200" w:name="_Toc401575157"/>
      <w:bookmarkStart w:id="201" w:name="_Toc41884703"/>
      <w:bookmarkStart w:id="202" w:name="_Toc101951269"/>
      <w:bookmarkStart w:id="203" w:name="_Toc98579607"/>
      <w:bookmarkStart w:id="204" w:name="_Toc101775131"/>
      <w:bookmarkStart w:id="205" w:name="_Toc98579066"/>
      <w:bookmarkStart w:id="206" w:name="_Toc101771378"/>
      <w:bookmarkStart w:id="207" w:name="_Toc98579008"/>
      <w:bookmarkStart w:id="208" w:name="_Toc50276154"/>
      <w:bookmarkStart w:id="209" w:name="_Toc98580290"/>
      <w:bookmarkStart w:id="210" w:name="_Toc41723933"/>
      <w:bookmarkStart w:id="211" w:name="_Toc403491573"/>
      <w:bookmarkStart w:id="212" w:name="_Toc42394514"/>
      <w:bookmarkStart w:id="213" w:name="_Toc42313169"/>
      <w:bookmarkStart w:id="214" w:name="_Toc42394670"/>
      <w:r>
        <w:rPr>
          <w:rFonts w:hint="eastAsia" w:ascii="宋体" w:hAnsi="宋体"/>
          <w:b/>
          <w:color w:val="auto"/>
          <w:sz w:val="24"/>
          <w:szCs w:val="24"/>
          <w:highlight w:val="none"/>
        </w:rPr>
        <w:t>定标</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widowControl w:val="0"/>
        <w:numPr>
          <w:ilvl w:val="1"/>
          <w:numId w:val="15"/>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采购人在评标报告确定的中标候选人名单中按顺序确定中标人。中标候选人并列的，由采购人按</w:t>
      </w:r>
      <w:r>
        <w:rPr>
          <w:rFonts w:hint="eastAsia" w:ascii="宋体" w:hAnsi="宋体" w:eastAsia="宋体" w:cs="宋体"/>
          <w:bCs w:val="0"/>
          <w:color w:val="auto"/>
          <w:kern w:val="2"/>
          <w:sz w:val="24"/>
          <w:szCs w:val="22"/>
          <w:highlight w:val="none"/>
          <w:lang w:val="en-US" w:eastAsia="zh-CN" w:bidi="ar-SA"/>
        </w:rPr>
        <w:t>上述第（三）综合评分的计算方式条款</w:t>
      </w:r>
      <w:r>
        <w:rPr>
          <w:rFonts w:hint="eastAsia" w:ascii="宋体" w:hAnsi="宋体" w:cs="宋体"/>
          <w:bCs w:val="0"/>
          <w:color w:val="auto"/>
          <w:kern w:val="2"/>
          <w:sz w:val="24"/>
          <w:szCs w:val="22"/>
          <w:highlight w:val="none"/>
          <w:lang w:val="en-US" w:eastAsia="zh-CN" w:bidi="ar-SA"/>
        </w:rPr>
        <w:t>确定；</w:t>
      </w:r>
      <w:r>
        <w:rPr>
          <w:rFonts w:hint="eastAsia" w:hAnsi="宋体"/>
          <w:color w:val="auto"/>
          <w:sz w:val="24"/>
          <w:szCs w:val="24"/>
          <w:highlight w:val="none"/>
        </w:rPr>
        <w:t>如以上都相同的，则由采购人采取随机抽取方式确定中标人。</w:t>
      </w:r>
    </w:p>
    <w:p>
      <w:pPr>
        <w:keepNext w:val="0"/>
        <w:keepLines w:val="0"/>
        <w:pageBreakBefore w:val="0"/>
        <w:widowControl w:val="0"/>
        <w:numPr>
          <w:ilvl w:val="1"/>
          <w:numId w:val="15"/>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bookmarkStart w:id="215" w:name="EB4427ea53cab941779413b12899674173"/>
      <w:r>
        <w:rPr>
          <w:rFonts w:hint="eastAsia" w:hAnsi="宋体"/>
          <w:color w:val="auto"/>
          <w:sz w:val="24"/>
          <w:szCs w:val="24"/>
          <w:highlight w:val="none"/>
          <w:lang w:val="en-US" w:eastAsia="zh-CN"/>
        </w:rPr>
        <w:t>采购人</w:t>
      </w:r>
      <w:r>
        <w:rPr>
          <w:rFonts w:hint="eastAsia" w:hAnsi="宋体"/>
          <w:color w:val="auto"/>
          <w:sz w:val="24"/>
          <w:szCs w:val="24"/>
          <w:highlight w:val="none"/>
        </w:rPr>
        <w:t>将中标结果在采购信息发布网站上进行公告。不在中标名单之列者即为落标人，广州市人事服务中心不再以其它方式另行通知。</w:t>
      </w:r>
    </w:p>
    <w:p>
      <w:pPr>
        <w:keepNext w:val="0"/>
        <w:keepLines w:val="0"/>
        <w:pageBreakBefore w:val="0"/>
        <w:widowControl w:val="0"/>
        <w:numPr>
          <w:ilvl w:val="1"/>
          <w:numId w:val="15"/>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ascii="宋体" w:hAnsi="宋体" w:cs="宋体"/>
          <w:color w:val="auto"/>
          <w:sz w:val="24"/>
          <w:highlight w:val="none"/>
        </w:rPr>
        <w:t>第一</w:t>
      </w:r>
      <w:r>
        <w:rPr>
          <w:rFonts w:hint="eastAsia" w:ascii="宋体" w:hAnsi="宋体" w:cs="宋体"/>
          <w:color w:val="auto"/>
          <w:sz w:val="24"/>
          <w:highlight w:val="none"/>
          <w:lang w:val="en-US" w:eastAsia="zh-CN"/>
        </w:rPr>
        <w:t>名</w:t>
      </w:r>
      <w:r>
        <w:rPr>
          <w:rFonts w:ascii="宋体" w:hAnsi="宋体" w:cs="宋体"/>
          <w:color w:val="auto"/>
          <w:sz w:val="24"/>
          <w:highlight w:val="none"/>
        </w:rPr>
        <w:t>放弃中标或被依法认定中标无效的，采购人可以按顺序选择候补中标供应商</w:t>
      </w:r>
      <w:r>
        <w:rPr>
          <w:rFonts w:hint="eastAsia" w:ascii="宋体" w:hAnsi="宋体" w:cs="宋体"/>
          <w:color w:val="auto"/>
          <w:sz w:val="24"/>
          <w:highlight w:val="none"/>
          <w:lang w:val="en-US" w:eastAsia="zh-CN"/>
        </w:rPr>
        <w:t>或</w:t>
      </w:r>
      <w:r>
        <w:rPr>
          <w:rFonts w:ascii="宋体" w:hAnsi="宋体" w:cs="宋体"/>
          <w:color w:val="auto"/>
          <w:sz w:val="24"/>
          <w:highlight w:val="none"/>
        </w:rPr>
        <w:t>可以重新开展采购活动</w:t>
      </w:r>
      <w:r>
        <w:rPr>
          <w:rFonts w:hint="eastAsia" w:ascii="宋体" w:hAnsi="宋体" w:cs="宋体"/>
          <w:color w:val="auto"/>
          <w:sz w:val="24"/>
          <w:highlight w:val="none"/>
          <w:lang w:eastAsia="zh-CN"/>
        </w:rPr>
        <w:t>。</w:t>
      </w:r>
    </w:p>
    <w:bookmarkEnd w:id="215"/>
    <w:p>
      <w:pPr>
        <w:keepNext w:val="0"/>
        <w:keepLines w:val="0"/>
        <w:pageBreakBefore w:val="0"/>
        <w:widowControl w:val="0"/>
        <w:numPr>
          <w:ilvl w:val="1"/>
          <w:numId w:val="15"/>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中标供应商放弃中标的，应当依法承担相应的法律责任。</w:t>
      </w:r>
    </w:p>
    <w:p>
      <w:pPr>
        <w:keepNext w:val="0"/>
        <w:keepLines w:val="0"/>
        <w:pageBreakBefore w:val="0"/>
        <w:widowControl w:val="0"/>
        <w:numPr>
          <w:ilvl w:val="1"/>
          <w:numId w:val="15"/>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凡发现中标供应商有下列行为之一的，将移交政府采购监督管理部门依法处理。</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olor w:val="auto"/>
          <w:sz w:val="24"/>
          <w:szCs w:val="24"/>
          <w:highlight w:val="none"/>
        </w:rPr>
      </w:pPr>
      <w:r>
        <w:rPr>
          <w:rFonts w:hint="eastAsia" w:ascii="宋体" w:hAnsi="宋体" w:cs="宋体"/>
          <w:color w:val="auto"/>
          <w:sz w:val="24"/>
          <w:szCs w:val="24"/>
          <w:highlight w:val="none"/>
        </w:rPr>
        <w:t>提供虚假材料谋取中标的</w:t>
      </w:r>
      <w:r>
        <w:rPr>
          <w:rFonts w:hint="eastAsia" w:ascii="宋体" w:hAnsi="宋体"/>
          <w:color w:val="auto"/>
          <w:sz w:val="24"/>
          <w:szCs w:val="24"/>
          <w:highlight w:val="none"/>
        </w:rPr>
        <w:t>；</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采取不正当手段诋毁、排挤其他供应商的；</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与采购人、其他供应商或者交易中心工作人员恶意串通的；</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向采购人人员行贿或者提供其他不正当利益的；</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在招标采购过程中与采购人进行协商谈判的；</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拒绝有关部门监督检查或者提供虚假情况的；</w:t>
      </w:r>
    </w:p>
    <w:p>
      <w:pPr>
        <w:keepNext w:val="0"/>
        <w:keepLines w:val="0"/>
        <w:pageBreakBefore w:val="0"/>
        <w:widowControl w:val="0"/>
        <w:numPr>
          <w:ilvl w:val="2"/>
          <w:numId w:val="16"/>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有法律、法规规定的其他损害采购人利益和社会公共利益情形的。</w:t>
      </w:r>
    </w:p>
    <w:p>
      <w:pPr>
        <w:numPr>
          <w:ilvl w:val="0"/>
          <w:numId w:val="6"/>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216" w:name="_Toc101775132"/>
      <w:bookmarkStart w:id="217" w:name="_Toc41884704"/>
      <w:bookmarkStart w:id="218" w:name="_Toc101771379"/>
      <w:bookmarkStart w:id="219" w:name="_Toc403491574"/>
      <w:bookmarkStart w:id="220" w:name="_Toc98579009"/>
      <w:bookmarkStart w:id="221" w:name="_Toc98579067"/>
      <w:bookmarkStart w:id="222" w:name="_Toc42394515"/>
      <w:bookmarkStart w:id="223" w:name="_Toc42394671"/>
      <w:bookmarkStart w:id="224" w:name="_Toc101951270"/>
      <w:bookmarkStart w:id="225" w:name="_Toc98580291"/>
      <w:bookmarkStart w:id="226" w:name="_Toc401575158"/>
      <w:bookmarkStart w:id="227" w:name="_Toc98579608"/>
      <w:bookmarkStart w:id="228" w:name="_Toc101843132"/>
      <w:bookmarkStart w:id="229" w:name="_Toc50276155"/>
      <w:bookmarkStart w:id="230" w:name="_Toc42313170"/>
      <w:bookmarkStart w:id="231" w:name="_Toc41723934"/>
      <w:r>
        <w:rPr>
          <w:rFonts w:hint="eastAsia" w:ascii="宋体" w:hAnsi="宋体"/>
          <w:b/>
          <w:color w:val="auto"/>
          <w:sz w:val="24"/>
          <w:szCs w:val="24"/>
          <w:highlight w:val="none"/>
        </w:rPr>
        <w:t>签约</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25" w:leftChars="0"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rPr>
        <w:t>中标公告发出之日起</w:t>
      </w:r>
      <w:r>
        <w:rPr>
          <w:rFonts w:hint="eastAsia" w:hAnsi="宋体"/>
          <w:color w:val="auto"/>
          <w:sz w:val="24"/>
          <w:szCs w:val="24"/>
          <w:highlight w:val="none"/>
          <w:lang w:val="en-US" w:eastAsia="zh-CN"/>
        </w:rPr>
        <w:t>15个工作日</w:t>
      </w:r>
      <w:r>
        <w:rPr>
          <w:rFonts w:hint="eastAsia" w:hAnsi="宋体"/>
          <w:color w:val="auto"/>
          <w:sz w:val="24"/>
          <w:szCs w:val="24"/>
          <w:highlight w:val="none"/>
        </w:rPr>
        <w:t>内（第二章采购需求有相应约定的从其约定），中标方应按照招标文件和约定，与采购方签订书面合同。</w:t>
      </w:r>
    </w:p>
    <w:p>
      <w:pPr>
        <w:rPr>
          <w:rFonts w:hint="eastAsia" w:ascii="宋体" w:hAnsi="宋体"/>
          <w:color w:val="auto"/>
          <w:sz w:val="24"/>
          <w:szCs w:val="24"/>
          <w:highlight w:val="none"/>
        </w:rPr>
      </w:pPr>
      <w:bookmarkStart w:id="232" w:name="_Toc38947810"/>
      <w:bookmarkStart w:id="233" w:name="_Toc101951272"/>
      <w:bookmarkStart w:id="234" w:name="_Toc41723940"/>
      <w:bookmarkStart w:id="235" w:name="_Toc41884710"/>
      <w:bookmarkStart w:id="236" w:name="_Toc42394519"/>
      <w:bookmarkStart w:id="237" w:name="_Toc50276168"/>
      <w:bookmarkStart w:id="238" w:name="_Toc175106977"/>
      <w:bookmarkStart w:id="239" w:name="_Toc101775134"/>
      <w:bookmarkStart w:id="240" w:name="_Toc175644396"/>
      <w:bookmarkStart w:id="241" w:name="_Toc98580295"/>
      <w:bookmarkStart w:id="242" w:name="_Toc101771381"/>
      <w:bookmarkStart w:id="243" w:name="_Toc42394676"/>
      <w:bookmarkStart w:id="244" w:name="_Toc41884709"/>
      <w:bookmarkStart w:id="245" w:name="_Toc98579013"/>
      <w:bookmarkStart w:id="246" w:name="_Toc41723939"/>
      <w:bookmarkStart w:id="247" w:name="_Toc101843134"/>
      <w:bookmarkStart w:id="248" w:name="_Toc42394675"/>
      <w:bookmarkStart w:id="249" w:name="_Toc42394520"/>
      <w:bookmarkStart w:id="250" w:name="_Toc42313176"/>
      <w:bookmarkStart w:id="251" w:name="_Toc38947809"/>
      <w:bookmarkStart w:id="252" w:name="_Toc40762377"/>
      <w:bookmarkStart w:id="253" w:name="_Toc40762378"/>
      <w:bookmarkStart w:id="254" w:name="_Toc50276167"/>
      <w:bookmarkStart w:id="255" w:name="_Toc42313175"/>
      <w:bookmarkStart w:id="256" w:name="_Toc98579071"/>
      <w:bookmarkStart w:id="257" w:name="_Toc98579612"/>
      <w:r>
        <w:rPr>
          <w:rFonts w:hint="eastAsia" w:ascii="宋体" w:hAnsi="宋体"/>
          <w:color w:val="auto"/>
          <w:sz w:val="24"/>
          <w:szCs w:val="24"/>
          <w:highlight w:val="none"/>
        </w:rPr>
        <w:br w:type="page"/>
      </w:r>
    </w:p>
    <w:p>
      <w:pPr>
        <w:spacing w:line="242" w:lineRule="auto"/>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spacing w:before="143" w:line="184" w:lineRule="auto"/>
        <w:ind w:firstLine="2862"/>
        <w:outlineLvl w:val="0"/>
        <w:rPr>
          <w:rFonts w:ascii="宋体" w:hAnsi="宋体" w:eastAsia="宋体" w:cs="宋体"/>
          <w:color w:val="auto"/>
          <w:sz w:val="44"/>
          <w:szCs w:val="44"/>
          <w:highlight w:val="none"/>
          <w:shd w:val="clear" w:color="auto" w:fill="auto"/>
        </w:rPr>
      </w:pPr>
      <w:bookmarkStart w:id="258" w:name="_bookmark6"/>
      <w:bookmarkEnd w:id="258"/>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第五章</w:t>
      </w:r>
      <w:r>
        <w:rPr>
          <w:rFonts w:ascii="宋体" w:hAnsi="宋体" w:eastAsia="宋体" w:cs="宋体"/>
          <w:color w:val="auto"/>
          <w:spacing w:val="14"/>
          <w:sz w:val="44"/>
          <w:szCs w:val="44"/>
          <w:highlight w:val="none"/>
          <w:shd w:val="clear" w:color="auto" w:fill="auto"/>
        </w:rPr>
        <w:t xml:space="preserve">  </w:t>
      </w:r>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投标文件格式</w:t>
      </w:r>
    </w:p>
    <w:p>
      <w:pPr>
        <w:rPr>
          <w:color w:val="auto"/>
          <w:highlight w:val="none"/>
          <w:shd w:val="clear" w:color="auto" w:fill="auto"/>
        </w:rPr>
      </w:pPr>
    </w:p>
    <w:p>
      <w:pPr>
        <w:pStyle w:val="9"/>
        <w:spacing w:line="480" w:lineRule="auto"/>
        <w:ind w:left="420" w:hanging="420"/>
        <w:jc w:val="center"/>
        <w:rPr>
          <w:rFonts w:hint="eastAsia" w:ascii="宋体" w:hAnsi="宋体"/>
          <w:b/>
          <w:bCs/>
          <w:color w:val="auto"/>
          <w:sz w:val="28"/>
          <w:szCs w:val="28"/>
          <w:highlight w:val="none"/>
        </w:rPr>
      </w:pPr>
    </w:p>
    <w:p>
      <w:pPr>
        <w:pStyle w:val="9"/>
        <w:spacing w:line="480" w:lineRule="auto"/>
        <w:ind w:left="420" w:hanging="420"/>
        <w:jc w:val="center"/>
        <w:rPr>
          <w:rFonts w:hint="eastAsia" w:ascii="宋体" w:hAnsi="宋体"/>
          <w:b/>
          <w:bCs/>
          <w:color w:val="auto"/>
          <w:sz w:val="28"/>
          <w:szCs w:val="28"/>
          <w:highlight w:val="none"/>
        </w:rPr>
      </w:pPr>
    </w:p>
    <w:p>
      <w:pPr>
        <w:pStyle w:val="9"/>
        <w:spacing w:line="480" w:lineRule="auto"/>
        <w:ind w:left="420" w:hanging="420"/>
        <w:jc w:val="center"/>
        <w:rPr>
          <w:rFonts w:hint="eastAsia" w:ascii="宋体" w:hAnsi="宋体"/>
          <w:b/>
          <w:bCs/>
          <w:color w:val="auto"/>
          <w:sz w:val="28"/>
          <w:szCs w:val="28"/>
          <w:highlight w:val="none"/>
        </w:rPr>
      </w:pPr>
    </w:p>
    <w:p>
      <w:pPr>
        <w:pStyle w:val="9"/>
        <w:spacing w:line="480" w:lineRule="auto"/>
        <w:ind w:left="420" w:hanging="420"/>
        <w:jc w:val="center"/>
        <w:rPr>
          <w:rFonts w:hint="eastAsia" w:ascii="宋体" w:hAnsi="宋体"/>
          <w:b/>
          <w:bCs/>
          <w:color w:val="auto"/>
          <w:sz w:val="28"/>
          <w:szCs w:val="28"/>
          <w:highlight w:val="none"/>
        </w:rPr>
      </w:pPr>
    </w:p>
    <w:p>
      <w:pPr>
        <w:pStyle w:val="9"/>
        <w:spacing w:line="480" w:lineRule="auto"/>
        <w:ind w:left="420" w:hanging="420"/>
        <w:jc w:val="center"/>
        <w:rPr>
          <w:rFonts w:hint="eastAsia" w:ascii="宋体" w:hAnsi="宋体"/>
          <w:b/>
          <w:bCs/>
          <w:color w:val="auto"/>
          <w:sz w:val="28"/>
          <w:szCs w:val="28"/>
          <w:highlight w:val="none"/>
        </w:rPr>
      </w:pPr>
    </w:p>
    <w:p>
      <w:pPr>
        <w:pStyle w:val="9"/>
        <w:spacing w:line="480" w:lineRule="auto"/>
        <w:ind w:left="420" w:hanging="420"/>
        <w:jc w:val="center"/>
        <w:rPr>
          <w:rFonts w:hint="eastAsia" w:ascii="宋体" w:hAnsi="宋体"/>
          <w:b/>
          <w:bCs/>
          <w:color w:val="auto"/>
          <w:sz w:val="28"/>
          <w:szCs w:val="28"/>
          <w:highlight w:val="none"/>
        </w:rPr>
      </w:pPr>
    </w:p>
    <w:p>
      <w:pPr>
        <w:rPr>
          <w:rFonts w:hint="eastAsia" w:ascii="宋体" w:hAnsi="宋体"/>
          <w:color w:val="auto"/>
          <w:highlight w:val="none"/>
        </w:rPr>
      </w:pPr>
    </w:p>
    <w:p>
      <w:pPr>
        <w:pStyle w:val="2"/>
        <w:sectPr>
          <w:headerReference r:id="rId3" w:type="default"/>
          <w:footerReference r:id="rId4" w:type="default"/>
          <w:pgSz w:w="11906" w:h="16839"/>
          <w:pgMar w:top="1047" w:right="1020" w:bottom="1000" w:left="1020" w:header="763" w:footer="762" w:gutter="0"/>
          <w:pgNumType w:fmt="decimal"/>
          <w:cols w:space="720" w:num="1"/>
        </w:sectPr>
      </w:pPr>
    </w:p>
    <w:p>
      <w:pPr>
        <w:spacing w:line="293"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b w:val="0"/>
          <w:bCs w:val="0"/>
          <w:color w:val="auto"/>
          <w:sz w:val="21"/>
          <w:highlight w:val="none"/>
          <w:shd w:val="clear" w:color="auto" w:fill="auto"/>
        </w:rPr>
      </w:pPr>
    </w:p>
    <w:p>
      <w:pPr>
        <w:spacing w:line="322" w:lineRule="auto"/>
        <w:jc w:val="center"/>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t>2022年第一批广州市事业单位人员网上学习平台</w:t>
      </w:r>
    </w:p>
    <w:p>
      <w:pPr>
        <w:spacing w:line="322" w:lineRule="auto"/>
        <w:jc w:val="center"/>
        <w:rPr>
          <w:rFonts w:ascii="Arial"/>
          <w:b w:val="0"/>
          <w:bCs w:val="0"/>
          <w:color w:val="auto"/>
          <w:sz w:val="21"/>
          <w:highlight w:val="none"/>
          <w:shd w:val="clear" w:color="auto" w:fill="auto"/>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t>课程资源采购</w:t>
      </w:r>
    </w:p>
    <w:p>
      <w:pPr>
        <w:spacing w:line="322" w:lineRule="auto"/>
        <w:rPr>
          <w:rFonts w:ascii="Arial"/>
          <w:color w:val="auto"/>
          <w:sz w:val="21"/>
          <w:highlight w:val="none"/>
          <w:shd w:val="clear" w:color="auto" w:fill="auto"/>
        </w:rPr>
      </w:pPr>
    </w:p>
    <w:p>
      <w:pPr>
        <w:spacing w:before="273" w:line="1248" w:lineRule="exact"/>
        <w:ind w:firstLine="4450"/>
        <w:rPr>
          <w:rFonts w:ascii="宋体" w:hAnsi="宋体" w:eastAsia="宋体" w:cs="宋体"/>
          <w:color w:val="auto"/>
          <w:sz w:val="84"/>
          <w:szCs w:val="84"/>
          <w:highlight w:val="none"/>
          <w:shd w:val="clear" w:color="auto" w:fill="auto"/>
        </w:rPr>
      </w:pPr>
      <w:r>
        <w:rPr>
          <w:rFonts w:ascii="宋体" w:hAnsi="宋体" w:eastAsia="宋体" w:cs="宋体"/>
          <w:color w:val="auto"/>
          <w:position w:val="27"/>
          <w:sz w:val="84"/>
          <w:szCs w:val="84"/>
          <w:highlight w:val="none"/>
          <w:shd w:val="clear" w:color="auto" w:fill="auto"/>
          <w14:textOutline w14:w="15255" w14:cap="sq" w14:cmpd="sng">
            <w14:solidFill>
              <w14:srgbClr w14:val="000000"/>
            </w14:solidFill>
            <w14:prstDash w14:val="solid"/>
            <w14:bevel/>
          </w14:textOutline>
        </w:rPr>
        <w:t>投</w:t>
      </w:r>
    </w:p>
    <w:p>
      <w:pPr>
        <w:spacing w:before="1" w:line="204" w:lineRule="auto"/>
        <w:ind w:firstLine="4443"/>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标</w:t>
      </w:r>
    </w:p>
    <w:p>
      <w:pPr>
        <w:spacing w:before="319" w:line="184" w:lineRule="auto"/>
        <w:ind w:firstLine="444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文</w:t>
      </w:r>
    </w:p>
    <w:p>
      <w:pPr>
        <w:spacing w:before="411" w:line="184" w:lineRule="auto"/>
        <w:ind w:firstLine="443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件</w:t>
      </w:r>
    </w:p>
    <w:p>
      <w:pPr>
        <w:rPr>
          <w:rFonts w:ascii="Arial"/>
          <w:color w:val="auto"/>
          <w:sz w:val="21"/>
          <w:highlight w:val="none"/>
          <w:shd w:val="clear" w:color="auto" w:fill="auto"/>
        </w:rPr>
      </w:pPr>
    </w:p>
    <w:p>
      <w:pPr>
        <w:spacing w:before="170" w:line="185" w:lineRule="auto"/>
        <w:ind w:firstLine="3168"/>
        <w:rPr>
          <w:rFonts w:ascii="宋体" w:hAnsi="宋体" w:eastAsia="宋体" w:cs="宋体"/>
          <w:color w:val="auto"/>
          <w:sz w:val="52"/>
          <w:szCs w:val="52"/>
          <w:highlight w:val="none"/>
          <w:shd w:val="clear" w:color="auto" w:fill="auto"/>
        </w:rPr>
      </w:pPr>
      <w:r>
        <w:rPr>
          <w:rFonts w:ascii="宋体" w:hAnsi="宋体" w:eastAsia="宋体" w:cs="宋体"/>
          <w:color w:val="auto"/>
          <w:spacing w:val="-4"/>
          <w:sz w:val="52"/>
          <w:szCs w:val="52"/>
          <w:highlight w:val="none"/>
          <w:shd w:val="clear" w:color="auto" w:fill="auto"/>
          <w14:textOutline w14:w="9461" w14:cap="sq" w14:cmpd="sng">
            <w14:solidFill>
              <w14:srgbClr w14:val="000000"/>
            </w14:solidFill>
            <w14:prstDash w14:val="solid"/>
            <w14:bevel/>
          </w14:textOutline>
        </w:rPr>
        <w:t>（正本/副本）</w:t>
      </w:r>
    </w:p>
    <w:p>
      <w:pPr>
        <w:spacing w:line="243" w:lineRule="auto"/>
        <w:rPr>
          <w:rFonts w:ascii="Arial"/>
          <w:color w:val="auto"/>
          <w:sz w:val="21"/>
          <w:highlight w:val="none"/>
          <w:shd w:val="clear" w:color="auto" w:fill="auto"/>
        </w:rPr>
      </w:pPr>
    </w:p>
    <w:p>
      <w:pPr>
        <w:spacing w:line="243"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before="117" w:line="624" w:lineRule="exact"/>
        <w:ind w:firstLine="1097"/>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position w:val="19"/>
          <w:sz w:val="32"/>
          <w:szCs w:val="32"/>
          <w:highlight w:val="none"/>
          <w:shd w:val="clear" w:color="auto" w:fill="auto"/>
        </w:rPr>
        <w:t>投标单位（盖章</w:t>
      </w:r>
      <w:r>
        <w:rPr>
          <w:rFonts w:hint="default" w:ascii="Times New Roman" w:hAnsi="Times New Roman" w:eastAsia="仿宋_GB2312" w:cs="Times New Roman"/>
          <w:color w:val="auto"/>
          <w:spacing w:val="-100"/>
          <w:position w:val="19"/>
          <w:sz w:val="32"/>
          <w:szCs w:val="32"/>
          <w:highlight w:val="none"/>
          <w:shd w:val="clear" w:color="auto" w:fill="auto"/>
        </w:rPr>
        <w:t>）</w:t>
      </w:r>
      <w:r>
        <w:rPr>
          <w:rFonts w:hint="default" w:ascii="Times New Roman" w:hAnsi="Times New Roman" w:eastAsia="仿宋_GB2312" w:cs="Times New Roman"/>
          <w:color w:val="auto"/>
          <w:spacing w:val="-27"/>
          <w:position w:val="19"/>
          <w:sz w:val="32"/>
          <w:szCs w:val="32"/>
          <w:highlight w:val="none"/>
          <w:shd w:val="clear" w:color="auto" w:fill="auto"/>
        </w:rPr>
        <w:t xml:space="preserve"> </w:t>
      </w:r>
      <w:r>
        <w:rPr>
          <w:rFonts w:hint="default" w:ascii="Times New Roman" w:hAnsi="Times New Roman" w:eastAsia="仿宋_GB2312" w:cs="Times New Roman"/>
          <w:color w:val="auto"/>
          <w:spacing w:val="-100"/>
          <w:position w:val="19"/>
          <w:sz w:val="32"/>
          <w:szCs w:val="32"/>
          <w:highlight w:val="none"/>
          <w:shd w:val="clear" w:color="auto" w:fill="auto"/>
        </w:rPr>
        <w:t>：</w:t>
      </w:r>
    </w:p>
    <w:p>
      <w:pPr>
        <w:spacing w:before="1" w:line="204" w:lineRule="auto"/>
        <w:ind w:firstLine="1094"/>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sz w:val="32"/>
          <w:szCs w:val="32"/>
          <w:highlight w:val="none"/>
          <w:shd w:val="clear" w:color="auto" w:fill="auto"/>
        </w:rPr>
        <w:t>联系人：</w:t>
      </w:r>
    </w:p>
    <w:p>
      <w:pPr>
        <w:spacing w:before="225" w:line="624" w:lineRule="exact"/>
        <w:ind w:firstLine="1094"/>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position w:val="19"/>
          <w:sz w:val="32"/>
          <w:szCs w:val="32"/>
          <w:highlight w:val="none"/>
          <w:shd w:val="clear" w:color="auto" w:fill="auto"/>
        </w:rPr>
        <w:t>联系电话：</w:t>
      </w:r>
    </w:p>
    <w:p>
      <w:pPr>
        <w:spacing w:before="1" w:line="204" w:lineRule="auto"/>
        <w:ind w:firstLine="1024" w:firstLineChars="400"/>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pacing w:val="-32"/>
          <w:sz w:val="32"/>
          <w:szCs w:val="32"/>
          <w:highlight w:val="none"/>
          <w:shd w:val="clear" w:color="auto" w:fill="auto"/>
        </w:rPr>
        <w:t>日</w:t>
      </w:r>
      <w:r>
        <w:rPr>
          <w:rFonts w:hint="default" w:ascii="Times New Roman" w:hAnsi="Times New Roman" w:eastAsia="仿宋_GB2312" w:cs="Times New Roman"/>
          <w:color w:val="auto"/>
          <w:spacing w:val="5"/>
          <w:sz w:val="32"/>
          <w:szCs w:val="32"/>
          <w:highlight w:val="none"/>
          <w:shd w:val="clear" w:color="auto" w:fill="auto"/>
        </w:rPr>
        <w:t xml:space="preserve">    </w:t>
      </w:r>
      <w:r>
        <w:rPr>
          <w:rFonts w:hint="default" w:ascii="Times New Roman" w:hAnsi="Times New Roman" w:eastAsia="仿宋_GB2312" w:cs="Times New Roman"/>
          <w:color w:val="auto"/>
          <w:spacing w:val="-32"/>
          <w:sz w:val="32"/>
          <w:szCs w:val="32"/>
          <w:highlight w:val="none"/>
          <w:shd w:val="clear" w:color="auto" w:fill="auto"/>
        </w:rPr>
        <w:t>期</w:t>
      </w:r>
      <w:r>
        <w:rPr>
          <w:rFonts w:hint="default" w:ascii="Times New Roman" w:hAnsi="Times New Roman" w:eastAsia="仿宋_GB2312" w:cs="Times New Roman"/>
          <w:color w:val="auto"/>
          <w:spacing w:val="-32"/>
          <w:sz w:val="32"/>
          <w:szCs w:val="32"/>
          <w:highlight w:val="none"/>
          <w:shd w:val="clear" w:color="auto" w:fill="auto"/>
          <w:lang w:val="en-US" w:eastAsia="zh-CN"/>
        </w:rPr>
        <w:t xml:space="preserve"> ：</w:t>
      </w:r>
    </w:p>
    <w:p>
      <w:pPr>
        <w:rPr>
          <w:rFonts w:hint="default" w:ascii="Times New Roman" w:hAnsi="Times New Roman" w:eastAsia="仿宋_GB2312" w:cs="Times New Roman"/>
          <w:color w:val="auto"/>
          <w:sz w:val="32"/>
          <w:szCs w:val="32"/>
          <w:highlight w:val="none"/>
          <w:shd w:val="clear" w:color="auto" w:fill="auto"/>
        </w:rPr>
        <w:sectPr>
          <w:headerReference r:id="rId5" w:type="default"/>
          <w:footerReference r:id="rId6" w:type="default"/>
          <w:pgSz w:w="11906" w:h="16839"/>
          <w:pgMar w:top="1047" w:right="1020" w:bottom="1000" w:left="1020" w:header="763" w:footer="762"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326" w:line="180" w:lineRule="auto"/>
        <w:ind w:firstLine="130"/>
        <w:textAlignment w:val="auto"/>
        <w:outlineLvl w:val="0"/>
        <w:rPr>
          <w:rFonts w:ascii="宋体" w:hAnsi="宋体" w:eastAsia="宋体" w:cs="宋体"/>
          <w:color w:val="FF0000"/>
          <w:sz w:val="24"/>
          <w:szCs w:val="24"/>
          <w:highlight w:val="none"/>
          <w:shd w:val="clear" w:color="auto" w:fill="auto"/>
        </w:rPr>
      </w:pPr>
      <w:r>
        <w:rPr>
          <w:rFonts w:ascii="宋体" w:hAnsi="宋体" w:eastAsia="宋体" w:cs="宋体"/>
          <w:color w:val="FF0000"/>
          <w:spacing w:val="-3"/>
          <w:sz w:val="32"/>
          <w:szCs w:val="32"/>
          <w:highlight w:val="none"/>
          <w:shd w:val="clear" w:color="auto" w:fill="auto"/>
          <w14:textOutline w14:w="5793" w14:cap="sq" w14:cmpd="sng">
            <w14:solidFill>
              <w14:srgbClr w14:val="000000"/>
            </w14:solidFill>
            <w14:prstDash w14:val="solid"/>
            <w14:bevel/>
          </w14:textOutline>
        </w:rPr>
        <w:t>一、</w:t>
      </w:r>
      <w:r>
        <w:rPr>
          <w:rFonts w:ascii="宋体" w:hAnsi="宋体" w:eastAsia="宋体" w:cs="宋体"/>
          <w:color w:val="FF0000"/>
          <w:spacing w:val="54"/>
          <w:sz w:val="32"/>
          <w:szCs w:val="32"/>
          <w:highlight w:val="none"/>
          <w:shd w:val="clear" w:color="auto" w:fill="auto"/>
        </w:rPr>
        <w:t xml:space="preserve"> </w:t>
      </w:r>
      <w:r>
        <w:rPr>
          <w:rFonts w:ascii="宋体" w:hAnsi="宋体" w:eastAsia="宋体" w:cs="宋体"/>
          <w:color w:val="FF0000"/>
          <w:spacing w:val="-3"/>
          <w:sz w:val="24"/>
          <w:szCs w:val="24"/>
          <w:highlight w:val="none"/>
          <w:shd w:val="clear" w:color="auto" w:fill="auto"/>
          <w14:textOutline w14:w="4358" w14:cap="sq" w14:cmpd="sng">
            <w14:solidFill>
              <w14:srgbClr w14:val="000000"/>
            </w14:solidFill>
            <w14:prstDash w14:val="solid"/>
            <w14:bevel/>
          </w14:textOutline>
        </w:rPr>
        <w:t>投标文件目录表</w:t>
      </w:r>
    </w:p>
    <w:p>
      <w:pPr>
        <w:spacing w:line="144" w:lineRule="exact"/>
        <w:rPr>
          <w:color w:val="auto"/>
          <w:highlight w:val="none"/>
          <w:shd w:val="clear" w:color="auto" w:fill="auto"/>
        </w:rPr>
      </w:pPr>
    </w:p>
    <w:tbl>
      <w:tblPr>
        <w:tblStyle w:val="21"/>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5530"/>
        <w:gridCol w:w="1309"/>
        <w:gridCol w:w="1190"/>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782" w:type="dxa"/>
            <w:vAlign w:val="center"/>
          </w:tcPr>
          <w:p>
            <w:pPr>
              <w:spacing w:before="212" w:line="184" w:lineRule="auto"/>
              <w:ind w:firstLine="114"/>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5530" w:type="dxa"/>
            <w:vAlign w:val="center"/>
          </w:tcPr>
          <w:p>
            <w:pPr>
              <w:spacing w:before="212" w:line="184" w:lineRule="auto"/>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内</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容</w:t>
            </w:r>
          </w:p>
        </w:tc>
        <w:tc>
          <w:tcPr>
            <w:tcW w:w="1309" w:type="dxa"/>
            <w:vAlign w:val="center"/>
          </w:tcPr>
          <w:p>
            <w:pPr>
              <w:spacing w:before="56" w:line="312" w:lineRule="exact"/>
              <w:ind w:firstLine="163"/>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t>是否提交</w:t>
            </w:r>
          </w:p>
        </w:tc>
        <w:tc>
          <w:tcPr>
            <w:tcW w:w="1190" w:type="dxa"/>
            <w:vAlign w:val="center"/>
          </w:tcPr>
          <w:p>
            <w:pPr>
              <w:spacing w:before="56" w:line="312" w:lineRule="exact"/>
              <w:ind w:firstLine="163"/>
              <w:jc w:val="cente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t>页码范围</w:t>
            </w:r>
          </w:p>
        </w:tc>
        <w:tc>
          <w:tcPr>
            <w:tcW w:w="886" w:type="dxa"/>
            <w:vAlign w:val="center"/>
          </w:tcPr>
          <w:p>
            <w:pPr>
              <w:spacing w:before="56" w:line="312" w:lineRule="exact"/>
              <w:ind w:firstLine="163"/>
              <w:jc w:val="center"/>
              <w:rPr>
                <w:rFonts w:hint="eastAsia" w:ascii="宋体" w:hAnsi="宋体" w:eastAsia="宋体" w:cs="宋体"/>
                <w:color w:val="auto"/>
                <w:spacing w:val="-6"/>
                <w:position w:val="6"/>
                <w:sz w:val="21"/>
                <w:szCs w:val="21"/>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6"/>
                <w:position w:val="6"/>
                <w:sz w:val="21"/>
                <w:szCs w:val="21"/>
                <w:highlight w:val="none"/>
                <w:shd w:val="clear" w:color="auto" w:fill="auto"/>
                <w:lang w:val="en-US" w:eastAsia="zh-CN"/>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782" w:type="dxa"/>
            <w:vAlign w:val="center"/>
          </w:tcPr>
          <w:p>
            <w:pPr>
              <w:spacing w:before="56" w:line="184" w:lineRule="auto"/>
              <w:ind w:firstLine="124"/>
              <w:jc w:val="both"/>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w:t>
            </w:r>
          </w:p>
        </w:tc>
        <w:tc>
          <w:tcPr>
            <w:tcW w:w="5530" w:type="dxa"/>
            <w:vAlign w:val="center"/>
          </w:tcPr>
          <w:p>
            <w:pPr>
              <w:spacing w:before="56" w:line="184" w:lineRule="auto"/>
              <w:ind w:firstLine="124"/>
              <w:jc w:val="both"/>
              <w:rPr>
                <w:rFonts w:hint="default" w:ascii="宋体" w:hAnsi="宋体" w:eastAsia="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t>商务及投标报价部分</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82" w:type="dxa"/>
            <w:vAlign w:val="center"/>
          </w:tcPr>
          <w:p>
            <w:pPr>
              <w:spacing w:before="83" w:line="180" w:lineRule="auto"/>
              <w:ind w:firstLine="130"/>
              <w:jc w:val="both"/>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1.1</w:t>
            </w:r>
          </w:p>
        </w:tc>
        <w:tc>
          <w:tcPr>
            <w:tcW w:w="5530" w:type="dxa"/>
            <w:vAlign w:val="center"/>
          </w:tcPr>
          <w:p>
            <w:pPr>
              <w:spacing w:before="51" w:line="184" w:lineRule="auto"/>
              <w:ind w:firstLine="111"/>
              <w:jc w:val="both"/>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w:t>
            </w:r>
            <w:r>
              <w:rPr>
                <w:rFonts w:ascii="宋体" w:hAnsi="宋体" w:eastAsia="宋体" w:cs="宋体"/>
                <w:color w:val="auto"/>
                <w:spacing w:val="-5"/>
                <w:sz w:val="21"/>
                <w:szCs w:val="21"/>
                <w:highlight w:val="none"/>
                <w:shd w:val="clear" w:color="auto" w:fill="auto"/>
              </w:rPr>
              <w:t>投标</w:t>
            </w:r>
            <w:r>
              <w:rPr>
                <w:rFonts w:hint="eastAsia" w:ascii="宋体" w:hAnsi="宋体" w:cs="宋体"/>
                <w:color w:val="auto"/>
                <w:spacing w:val="-5"/>
                <w:sz w:val="21"/>
                <w:szCs w:val="21"/>
                <w:highlight w:val="none"/>
                <w:shd w:val="clear" w:color="auto" w:fill="auto"/>
                <w:lang w:val="en-US" w:eastAsia="zh-CN"/>
              </w:rPr>
              <w:t>承诺函</w:t>
            </w:r>
            <w:r>
              <w:rPr>
                <w:rFonts w:ascii="宋体" w:hAnsi="宋体" w:eastAsia="宋体" w:cs="宋体"/>
                <w:color w:val="auto"/>
                <w:spacing w:val="-5"/>
                <w:sz w:val="21"/>
                <w:szCs w:val="21"/>
                <w:highlight w:val="none"/>
                <w:shd w:val="clear" w:color="auto" w:fill="auto"/>
              </w:rPr>
              <w:t>（格式</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1）</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782" w:type="dxa"/>
            <w:vAlign w:val="center"/>
          </w:tcPr>
          <w:p>
            <w:pPr>
              <w:spacing w:before="83" w:line="180" w:lineRule="auto"/>
              <w:ind w:firstLine="130"/>
              <w:jc w:val="both"/>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1.2</w:t>
            </w:r>
          </w:p>
        </w:tc>
        <w:tc>
          <w:tcPr>
            <w:tcW w:w="5530" w:type="dxa"/>
            <w:vAlign w:val="center"/>
          </w:tcPr>
          <w:p>
            <w:pPr>
              <w:spacing w:before="50" w:line="184" w:lineRule="auto"/>
              <w:ind w:firstLine="11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授权委托证明书</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格式2</w:t>
            </w:r>
            <w:r>
              <w:rPr>
                <w:rFonts w:hint="eastAsia" w:ascii="宋体" w:hAnsi="宋体" w:cs="宋体"/>
                <w:color w:val="auto"/>
                <w:sz w:val="21"/>
                <w:szCs w:val="21"/>
                <w:highlight w:val="none"/>
                <w:shd w:val="clear" w:color="auto" w:fill="auto"/>
                <w:lang w:eastAsia="zh-CN"/>
              </w:rPr>
              <w:t>）</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82"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1.3</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★资格声明函(格式 3)</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782"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1.4</w:t>
            </w:r>
          </w:p>
        </w:tc>
        <w:tc>
          <w:tcPr>
            <w:tcW w:w="5530"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中小企业声明函（格式 4）</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1.5</w:t>
            </w:r>
          </w:p>
        </w:tc>
        <w:tc>
          <w:tcPr>
            <w:tcW w:w="5530"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开标一览表（格式5）</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1.6</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《投标人资格声明函》的附件（格式自拟）（营业执照、相关声明函等）</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1.7</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★实质性响应条款一览表（格式6）</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82" w:type="dxa"/>
            <w:vAlign w:val="center"/>
          </w:tcPr>
          <w:p>
            <w:pPr>
              <w:spacing w:before="86" w:line="180" w:lineRule="auto"/>
              <w:ind w:firstLine="117"/>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1.8</w:t>
            </w:r>
          </w:p>
        </w:tc>
        <w:tc>
          <w:tcPr>
            <w:tcW w:w="5530" w:type="dxa"/>
            <w:vAlign w:val="center"/>
          </w:tcPr>
          <w:p>
            <w:pPr>
              <w:spacing w:before="52" w:line="184" w:lineRule="auto"/>
              <w:ind w:firstLine="111"/>
              <w:jc w:val="both"/>
              <w:rPr>
                <w:rFonts w:hint="default" w:ascii="宋体" w:hAnsi="宋体" w:eastAsia="宋体" w:cs="宋体"/>
                <w:color w:val="auto"/>
                <w:sz w:val="21"/>
                <w:szCs w:val="20"/>
                <w:highlight w:val="none"/>
                <w:lang w:val="en-US" w:eastAsia="zh-CN"/>
              </w:rPr>
            </w:pPr>
            <w:r>
              <w:rPr>
                <w:rFonts w:hint="eastAsia" w:ascii="宋体" w:hAnsi="宋体" w:cs="宋体"/>
                <w:color w:val="auto"/>
                <w:sz w:val="21"/>
                <w:szCs w:val="20"/>
                <w:highlight w:val="none"/>
              </w:rPr>
              <w:t xml:space="preserve"> 商务技术响应表</w:t>
            </w:r>
            <w:r>
              <w:rPr>
                <w:rFonts w:hint="eastAsia" w:ascii="宋体" w:hAnsi="宋体" w:cs="宋体"/>
                <w:color w:val="auto"/>
                <w:sz w:val="21"/>
                <w:szCs w:val="20"/>
                <w:highlight w:val="none"/>
                <w:lang w:val="en-US" w:eastAsia="zh-CN"/>
              </w:rPr>
              <w:t>(格式7）</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82" w:type="dxa"/>
            <w:vAlign w:val="center"/>
          </w:tcPr>
          <w:p>
            <w:pPr>
              <w:spacing w:before="86" w:line="180" w:lineRule="auto"/>
              <w:ind w:firstLine="117"/>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1.9</w:t>
            </w:r>
          </w:p>
        </w:tc>
        <w:tc>
          <w:tcPr>
            <w:tcW w:w="5530" w:type="dxa"/>
            <w:vAlign w:val="center"/>
          </w:tcPr>
          <w:p>
            <w:pPr>
              <w:spacing w:before="52" w:line="184" w:lineRule="auto"/>
              <w:ind w:firstLine="111"/>
              <w:jc w:val="both"/>
              <w:rPr>
                <w:rFonts w:ascii="宋体" w:hAnsi="宋体" w:eastAsia="宋体" w:cs="宋体"/>
                <w:color w:val="auto"/>
                <w:sz w:val="21"/>
                <w:szCs w:val="21"/>
                <w:highlight w:val="none"/>
                <w:shd w:val="clear" w:color="auto" w:fill="auto"/>
              </w:rPr>
            </w:pPr>
            <w:r>
              <w:rPr>
                <w:rFonts w:ascii="宋体" w:hAnsi="宋体" w:cs="宋体"/>
                <w:color w:val="auto"/>
                <w:sz w:val="21"/>
                <w:szCs w:val="20"/>
                <w:highlight w:val="none"/>
              </w:rPr>
              <w:t>投标人认为有必要说明的其他商务文件资料</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82" w:type="dxa"/>
            <w:vAlign w:val="center"/>
          </w:tcPr>
          <w:p>
            <w:pPr>
              <w:spacing w:before="56" w:line="184" w:lineRule="auto"/>
              <w:ind w:firstLine="118"/>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二</w:t>
            </w:r>
          </w:p>
        </w:tc>
        <w:tc>
          <w:tcPr>
            <w:tcW w:w="5530" w:type="dxa"/>
            <w:vAlign w:val="center"/>
          </w:tcPr>
          <w:p>
            <w:pPr>
              <w:spacing w:before="56" w:line="184" w:lineRule="auto"/>
              <w:ind w:firstLine="124"/>
              <w:jc w:val="both"/>
              <w:rPr>
                <w:rFonts w:hint="eastAsia" w:ascii="宋体" w:hAnsi="宋体" w:eastAsia="宋体" w:cs="宋体"/>
                <w:color w:val="auto"/>
                <w:sz w:val="21"/>
                <w:szCs w:val="21"/>
                <w:highlight w:val="none"/>
                <w:shd w:val="clear" w:color="auto" w:fill="auto"/>
                <w:lang w:val="en-US" w:eastAsia="zh-CN"/>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技术</w:t>
            </w:r>
            <w:r>
              <w:rPr>
                <w:rFonts w:hint="eastAsia" w:ascii="宋体" w:hAnsi="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t>部分</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82" w:type="dxa"/>
            <w:vAlign w:val="center"/>
          </w:tcPr>
          <w:p>
            <w:pPr>
              <w:spacing w:before="54" w:line="184" w:lineRule="auto"/>
              <w:ind w:firstLine="111"/>
              <w:jc w:val="both"/>
              <w:rPr>
                <w:rFonts w:hint="default" w:ascii="宋体" w:hAnsi="宋体" w:eastAsia="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2.1</w:t>
            </w:r>
          </w:p>
        </w:tc>
        <w:tc>
          <w:tcPr>
            <w:tcW w:w="5530" w:type="dxa"/>
            <w:vAlign w:val="center"/>
          </w:tcPr>
          <w:p>
            <w:pPr>
              <w:spacing w:before="54" w:line="184" w:lineRule="auto"/>
              <w:ind w:firstLine="111"/>
              <w:jc w:val="both"/>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投标技术方案</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782" w:type="dxa"/>
            <w:vAlign w:val="center"/>
          </w:tcPr>
          <w:p>
            <w:pPr>
              <w:spacing w:before="54" w:line="184" w:lineRule="auto"/>
              <w:ind w:firstLine="111"/>
              <w:jc w:val="both"/>
              <w:rPr>
                <w:rFonts w:hint="default" w:ascii="宋体" w:hAnsi="宋体" w:eastAsia="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2.2</w:t>
            </w:r>
          </w:p>
        </w:tc>
        <w:tc>
          <w:tcPr>
            <w:tcW w:w="5530" w:type="dxa"/>
            <w:vAlign w:val="center"/>
          </w:tcPr>
          <w:p>
            <w:pPr>
              <w:spacing w:before="54" w:line="184" w:lineRule="auto"/>
              <w:ind w:firstLine="111"/>
              <w:jc w:val="both"/>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投标人认为需要提交的其他技术资料</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bl>
    <w:p>
      <w:pPr>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rPr>
          <w:rFonts w:ascii="Arial"/>
          <w:color w:val="auto"/>
          <w:sz w:val="21"/>
          <w:highlight w:val="none"/>
          <w:shd w:val="clear" w:color="auto" w:fill="auto"/>
        </w:rPr>
      </w:pPr>
      <w:r>
        <w:rPr>
          <w:rFonts w:ascii="Arial"/>
          <w:color w:val="auto"/>
          <w:sz w:val="21"/>
          <w:highlight w:val="none"/>
          <w:shd w:val="clear" w:color="auto" w:fill="auto"/>
        </w:rPr>
        <w:br w:type="page"/>
      </w:r>
    </w:p>
    <w:p>
      <w:pPr>
        <w:spacing w:line="452"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104" w:line="188" w:lineRule="auto"/>
        <w:ind w:firstLine="23"/>
        <w:textAlignment w:val="auto"/>
        <w:outlineLvl w:val="2"/>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ascii="黑体" w:hAnsi="黑体" w:eastAsia="黑体" w:cs="黑体"/>
          <w:color w:val="auto"/>
          <w:spacing w:val="-8"/>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48"/>
          <w:sz w:val="32"/>
          <w:szCs w:val="32"/>
          <w:highlight w:val="none"/>
          <w:shd w:val="clear" w:color="auto" w:fill="auto"/>
        </w:rPr>
        <w:t xml:space="preserve"> </w:t>
      </w:r>
      <w:r>
        <w:rPr>
          <w:rFonts w:ascii="Arial" w:hAnsi="Arial" w:eastAsia="Arial" w:cs="Arial"/>
          <w:b/>
          <w:bCs/>
          <w:color w:val="auto"/>
          <w:spacing w:val="-8"/>
          <w:sz w:val="32"/>
          <w:szCs w:val="32"/>
          <w:highlight w:val="none"/>
          <w:shd w:val="clear" w:color="auto" w:fill="auto"/>
        </w:rPr>
        <w:t>1</w:t>
      </w:r>
      <w:r>
        <w:rPr>
          <w:rFonts w:ascii="Arial" w:hAnsi="Arial" w:eastAsia="Arial" w:cs="Arial"/>
          <w:color w:val="auto"/>
          <w:spacing w:val="1"/>
          <w:sz w:val="32"/>
          <w:szCs w:val="32"/>
          <w:highlight w:val="none"/>
          <w:shd w:val="clear" w:color="auto" w:fill="auto"/>
        </w:rPr>
        <w:t xml:space="preserve">                  </w:t>
      </w:r>
      <w:r>
        <w:rPr>
          <w:rFonts w:hint="eastAsia" w:ascii="方正小标宋简体" w:hAnsi="方正小标宋简体" w:eastAsia="方正小标宋简体" w:cs="方正小标宋简体"/>
          <w:b w:val="0"/>
          <w:bCs w:val="0"/>
          <w:color w:val="auto"/>
          <w:spacing w:val="1"/>
          <w:sz w:val="44"/>
          <w:szCs w:val="44"/>
          <w:highlight w:val="none"/>
          <w:shd w:val="clear" w:color="auto" w:fill="auto"/>
        </w:rPr>
        <w:t xml:space="preserve"> </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14:textOutline w14:w="5793" w14:cap="sq" w14:cmpd="sng">
            <w14:solidFill>
              <w14:srgbClr w14:val="000000"/>
            </w14:solidFill>
            <w14:prstDash w14:val="solid"/>
            <w14:bevel/>
          </w14:textOutline>
        </w:rPr>
        <w:t>投标</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lang w:val="en-US" w:eastAsia="zh-CN"/>
          <w14:textOutline w14:w="5793" w14:cap="sq" w14:cmpd="sng">
            <w14:solidFill>
              <w14:srgbClr w14:val="000000"/>
            </w14:solidFill>
            <w14:prstDash w14:val="solid"/>
            <w14:bevel/>
          </w14:textOutline>
        </w:rPr>
        <w:t>承诺</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14:textOutline w14:w="5793" w14:cap="sq" w14:cmpd="sng">
            <w14:solidFill>
              <w14:srgbClr w14:val="000000"/>
            </w14:solidFill>
            <w14:prstDash w14:val="solid"/>
            <w14:bevel/>
          </w14:textOutline>
        </w:rPr>
        <w:t>函</w:t>
      </w:r>
    </w:p>
    <w:p>
      <w:pPr>
        <w:rPr>
          <w:rFonts w:hint="eastAsia" w:ascii="宋体" w:hAnsi="宋体"/>
          <w:color w:val="auto"/>
          <w:highlight w:val="none"/>
        </w:rPr>
      </w:pPr>
    </w:p>
    <w:p>
      <w:pPr>
        <w:rPr>
          <w:rFonts w:hint="eastAsia" w:ascii="宋体" w:hAnsi="宋体"/>
          <w:color w:val="auto"/>
          <w:highlight w:val="none"/>
        </w:rPr>
      </w:pPr>
    </w:p>
    <w:p>
      <w:pPr>
        <w:pStyle w:val="32"/>
        <w:keepNext w:val="0"/>
        <w:keepLines w:val="0"/>
        <w:pageBreakBefore w:val="0"/>
        <w:widowControl w:val="0"/>
        <w:kinsoku/>
        <w:wordWrap/>
        <w:overflowPunct/>
        <w:topLinePunct w:val="0"/>
        <w:bidi w:val="0"/>
        <w:spacing w:line="336" w:lineRule="auto"/>
        <w:ind w:right="84" w:rightChars="4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广州人事服务中心：</w:t>
      </w:r>
    </w:p>
    <w:p>
      <w:pPr>
        <w:pStyle w:val="32"/>
        <w:keepNext w:val="0"/>
        <w:keepLines w:val="0"/>
        <w:pageBreakBefore w:val="0"/>
        <w:widowControl w:val="0"/>
        <w:tabs>
          <w:tab w:val="left" w:pos="9450"/>
        </w:tabs>
        <w:kinsoku/>
        <w:wordWrap/>
        <w:overflowPunct/>
        <w:topLinePunct w:val="0"/>
        <w:bidi w:val="0"/>
        <w:spacing w:line="336" w:lineRule="auto"/>
        <w:ind w:right="84" w:rightChars="40"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我方确认收到</w:t>
      </w:r>
      <w:r>
        <w:rPr>
          <w:rFonts w:hint="eastAsia" w:ascii="宋体" w:hAnsi="宋体"/>
          <w:color w:val="auto"/>
          <w:sz w:val="24"/>
          <w:highlight w:val="none"/>
        </w:rPr>
        <w:t>贵方</w:t>
      </w:r>
      <w:r>
        <w:rPr>
          <w:rFonts w:hint="eastAsia" w:ascii="宋体" w:hAnsi="宋体"/>
          <w:color w:val="auto"/>
          <w:sz w:val="24"/>
          <w:szCs w:val="24"/>
          <w:highlight w:val="none"/>
        </w:rPr>
        <w:t>提供的“2022年度广州市事业单位工作人员网上学习平台</w:t>
      </w:r>
      <w:r>
        <w:rPr>
          <w:rFonts w:hint="eastAsia" w:ascii="宋体" w:hAnsi="宋体"/>
          <w:color w:val="auto"/>
          <w:sz w:val="24"/>
          <w:szCs w:val="24"/>
          <w:highlight w:val="none"/>
          <w:lang w:eastAsia="zh-CN"/>
        </w:rPr>
        <w:t>云资源服务</w:t>
      </w:r>
      <w:r>
        <w:rPr>
          <w:rFonts w:hint="eastAsia" w:ascii="宋体" w:hAnsi="宋体"/>
          <w:color w:val="auto"/>
          <w:sz w:val="24"/>
          <w:szCs w:val="24"/>
          <w:highlight w:val="none"/>
        </w:rPr>
        <w:t>项目”的招标文件，已完全理解招标文件的所有内容。决定投标本项目，据此我方承诺如下：</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我方的投标文件在投标截止日后90天（日历天）内保持有效，如中标，有效期将延至本项目《广州市政府采购合同》执行期满日为止。</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Ansi="宋体"/>
          <w:b w:val="0"/>
          <w:color w:val="auto"/>
          <w:sz w:val="24"/>
          <w:szCs w:val="24"/>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hAnsi="宋体"/>
          <w:b w:val="0"/>
          <w:color w:val="auto"/>
          <w:sz w:val="24"/>
          <w:szCs w:val="24"/>
          <w:highlight w:val="none"/>
        </w:rPr>
        <w:t>利</w:t>
      </w:r>
      <w:r>
        <w:rPr>
          <w:rFonts w:hAnsi="宋体"/>
          <w:b w:val="0"/>
          <w:color w:val="auto"/>
          <w:sz w:val="24"/>
          <w:szCs w:val="24"/>
          <w:highlight w:val="none"/>
        </w:rPr>
        <w:t>。</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我方声明投标文件及所提供的一切资料均真实无误及有效。由于我方提供资料不实而造成的责任和后果由我方承担。我方同意按照贵方</w:t>
      </w:r>
      <w:r>
        <w:rPr>
          <w:rFonts w:hint="eastAsia" w:hAnsi="宋体"/>
          <w:b w:val="0"/>
          <w:color w:val="auto"/>
          <w:sz w:val="24"/>
          <w:highlight w:val="none"/>
        </w:rPr>
        <w:t>可能</w:t>
      </w:r>
      <w:r>
        <w:rPr>
          <w:rFonts w:hint="eastAsia" w:hAnsi="宋体"/>
          <w:b w:val="0"/>
          <w:color w:val="auto"/>
          <w:sz w:val="24"/>
          <w:szCs w:val="24"/>
          <w:highlight w:val="none"/>
        </w:rPr>
        <w:t>提出的要求，提供与投标有关的任何其它数据或信息。</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我方如果中标，保证履行投标文件中承诺的全部责任和义务，切实履行《广州市政府采购合同》中的全部条款并按照《招标文件》的要求向贵方足额交纳代理服务费</w:t>
      </w:r>
      <w:r>
        <w:rPr>
          <w:rFonts w:hint="eastAsia" w:hAnsi="宋体"/>
          <w:b w:val="0"/>
          <w:color w:val="auto"/>
          <w:sz w:val="24"/>
          <w:szCs w:val="24"/>
          <w:highlight w:val="none"/>
          <w:lang w:eastAsia="zh-CN"/>
        </w:rPr>
        <w:t>（</w:t>
      </w:r>
      <w:r>
        <w:rPr>
          <w:rFonts w:hint="eastAsia" w:hAnsi="宋体"/>
          <w:b w:val="0"/>
          <w:color w:val="auto"/>
          <w:sz w:val="24"/>
          <w:szCs w:val="24"/>
          <w:highlight w:val="none"/>
          <w:lang w:val="en-US" w:eastAsia="zh-CN"/>
        </w:rPr>
        <w:t>如有</w:t>
      </w:r>
      <w:r>
        <w:rPr>
          <w:rFonts w:hint="eastAsia" w:hAnsi="宋体"/>
          <w:b w:val="0"/>
          <w:color w:val="auto"/>
          <w:sz w:val="24"/>
          <w:szCs w:val="24"/>
          <w:highlight w:val="none"/>
          <w:lang w:eastAsia="zh-CN"/>
        </w:rPr>
        <w:t>）</w:t>
      </w:r>
      <w:r>
        <w:rPr>
          <w:rFonts w:hint="eastAsia" w:hAnsi="宋体"/>
          <w:b w:val="0"/>
          <w:color w:val="auto"/>
          <w:sz w:val="24"/>
          <w:szCs w:val="24"/>
          <w:highlight w:val="none"/>
        </w:rPr>
        <w:t>。</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我方同意如在本项目开标后、投标有效期之内</w:t>
      </w:r>
      <w:r>
        <w:rPr>
          <w:rFonts w:hint="eastAsia" w:hAnsi="宋体"/>
          <w:b w:val="0"/>
          <w:color w:val="auto"/>
          <w:sz w:val="24"/>
          <w:highlight w:val="none"/>
        </w:rPr>
        <w:t>撤销</w:t>
      </w:r>
      <w:r>
        <w:rPr>
          <w:rFonts w:hint="eastAsia" w:hAnsi="宋体"/>
          <w:b w:val="0"/>
          <w:color w:val="auto"/>
          <w:sz w:val="24"/>
          <w:szCs w:val="24"/>
          <w:highlight w:val="none"/>
        </w:rPr>
        <w:t>投标</w:t>
      </w:r>
      <w:r>
        <w:rPr>
          <w:rFonts w:hint="eastAsia" w:hAnsi="宋体"/>
          <w:b w:val="0"/>
          <w:color w:val="auto"/>
          <w:sz w:val="24"/>
          <w:highlight w:val="none"/>
        </w:rPr>
        <w:t>文件</w:t>
      </w:r>
      <w:r>
        <w:rPr>
          <w:rFonts w:hint="eastAsia" w:hAnsi="宋体"/>
          <w:b w:val="0"/>
          <w:color w:val="auto"/>
          <w:sz w:val="24"/>
          <w:szCs w:val="24"/>
          <w:highlight w:val="none"/>
        </w:rPr>
        <w:t>，或中标后未在规定期限内签订合同并送贵方备案的，贵方将不退还投标保证金（如有）。</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highlight w:val="none"/>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33"/>
        <w:keepNext w:val="0"/>
        <w:keepLines w:val="0"/>
        <w:pageBreakBefore w:val="0"/>
        <w:widowControl w:val="0"/>
        <w:numPr>
          <w:ilvl w:val="0"/>
          <w:numId w:val="17"/>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所有与本项目有关的函件请发往下列地址：</w:t>
      </w:r>
    </w:p>
    <w:tbl>
      <w:tblPr>
        <w:tblStyle w:val="15"/>
        <w:tblW w:w="90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地址（邮编）</w:t>
            </w:r>
          </w:p>
        </w:tc>
        <w:tc>
          <w:tcPr>
            <w:tcW w:w="5220" w:type="dxa"/>
            <w:gridSpan w:val="2"/>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c>
          <w:tcPr>
            <w:tcW w:w="90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传真</w:t>
            </w:r>
          </w:p>
        </w:tc>
        <w:tc>
          <w:tcPr>
            <w:tcW w:w="128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电话、手机</w:t>
            </w:r>
          </w:p>
        </w:tc>
        <w:tc>
          <w:tcPr>
            <w:tcW w:w="342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c>
          <w:tcPr>
            <w:tcW w:w="1800" w:type="dxa"/>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联系人（职务）</w:t>
            </w:r>
          </w:p>
        </w:tc>
        <w:tc>
          <w:tcPr>
            <w:tcW w:w="2180" w:type="dxa"/>
            <w:gridSpan w:val="2"/>
            <w:noWrap w:val="0"/>
            <w:vAlign w:val="top"/>
          </w:tcPr>
          <w:p>
            <w:pPr>
              <w:pStyle w:val="32"/>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r>
    </w:tbl>
    <w:p>
      <w:pPr>
        <w:pStyle w:val="32"/>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p>
    <w:p>
      <w:pPr>
        <w:pStyle w:val="32"/>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p>
    <w:p>
      <w:pPr>
        <w:pStyle w:val="32"/>
        <w:keepNext w:val="0"/>
        <w:keepLines w:val="0"/>
        <w:pageBreakBefore w:val="0"/>
        <w:widowControl w:val="0"/>
        <w:kinsoku/>
        <w:wordWrap/>
        <w:overflowPunct/>
        <w:topLinePunct w:val="0"/>
        <w:bidi w:val="0"/>
        <w:spacing w:line="360" w:lineRule="auto"/>
        <w:ind w:right="84" w:rightChars="40" w:firstLine="4080" w:firstLineChars="1700"/>
        <w:jc w:val="righ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s="Arial"/>
          <w:color w:val="auto"/>
          <w:sz w:val="24"/>
          <w:szCs w:val="24"/>
          <w:highlight w:val="none"/>
        </w:rPr>
        <w:t>20  年   月   日</w:t>
      </w:r>
    </w:p>
    <w:p>
      <w:pPr>
        <w:pStyle w:val="32"/>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pStyle w:val="32"/>
        <w:keepNext w:val="0"/>
        <w:keepLines w:val="0"/>
        <w:pageBreakBefore w:val="0"/>
        <w:widowControl w:val="0"/>
        <w:kinsoku/>
        <w:wordWrap/>
        <w:overflowPunct/>
        <w:topLinePunct w:val="0"/>
        <w:bidi w:val="0"/>
        <w:textAlignment w:val="auto"/>
        <w:outlineLvl w:val="9"/>
        <w:rPr>
          <w:color w:val="auto"/>
          <w:highlight w:val="none"/>
        </w:rPr>
      </w:pPr>
      <w:bookmarkStart w:id="259" w:name="_Toc37581429"/>
      <w:r>
        <w:rPr>
          <w:rFonts w:hint="eastAsia" w:ascii="宋体" w:hAnsi="宋体" w:cs="Arial"/>
          <w:bCs/>
          <w:color w:val="auto"/>
          <w:sz w:val="24"/>
          <w:szCs w:val="24"/>
          <w:highlight w:val="none"/>
        </w:rPr>
        <w:t>说明：</w:t>
      </w:r>
      <w:r>
        <w:rPr>
          <w:rFonts w:ascii="宋体" w:hAnsi="宋体" w:cs="Arial"/>
          <w:bCs/>
          <w:color w:val="auto"/>
          <w:sz w:val="24"/>
          <w:szCs w:val="24"/>
          <w:highlight w:val="none"/>
        </w:rPr>
        <w:t>本格式文件内容不得擅自删改。</w:t>
      </w:r>
      <w:bookmarkEnd w:id="259"/>
    </w:p>
    <w:p>
      <w:pPr>
        <w:keepNext w:val="0"/>
        <w:keepLines w:val="0"/>
        <w:pageBreakBefore w:val="0"/>
        <w:widowControl w:val="0"/>
        <w:kinsoku/>
        <w:wordWrap/>
        <w:overflowPunct/>
        <w:topLinePunct w:val="0"/>
        <w:autoSpaceDE/>
        <w:autoSpaceDN/>
        <w:bidi w:val="0"/>
        <w:adjustRightInd/>
        <w:snapToGrid/>
        <w:spacing w:before="259" w:line="184" w:lineRule="auto"/>
        <w:ind w:firstLine="7"/>
        <w:textAlignment w:val="auto"/>
        <w:outlineLvl w:val="9"/>
        <w:rPr>
          <w:rFonts w:ascii="宋体" w:hAnsi="宋体" w:eastAsia="宋体" w:cs="宋体"/>
          <w:color w:val="auto"/>
          <w:spacing w:val="-1"/>
          <w:sz w:val="21"/>
          <w:szCs w:val="21"/>
          <w:highlight w:val="none"/>
          <w:shd w:val="clear" w:color="auto" w:fill="auto"/>
        </w:rPr>
      </w:pPr>
    </w:p>
    <w:p>
      <w:pPr>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br w:type="page"/>
      </w:r>
    </w:p>
    <w:p>
      <w:pPr>
        <w:pStyle w:val="2"/>
      </w:pPr>
    </w:p>
    <w:p>
      <w:pPr>
        <w:keepNext w:val="0"/>
        <w:keepLines w:val="0"/>
        <w:pageBreakBefore w:val="0"/>
        <w:widowControl w:val="0"/>
        <w:kinsoku/>
        <w:wordWrap/>
        <w:overflowPunct/>
        <w:topLinePunct w:val="0"/>
        <w:autoSpaceDE/>
        <w:autoSpaceDN/>
        <w:bidi w:val="0"/>
        <w:adjustRightInd/>
        <w:snapToGrid/>
        <w:spacing w:before="259" w:line="184" w:lineRule="auto"/>
        <w:ind w:firstLine="7"/>
        <w:textAlignment w:val="auto"/>
        <w:outlineLvl w:val="9"/>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pPr>
      <w:r>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t>格式 2</w:t>
      </w:r>
    </w:p>
    <w:p>
      <w:pPr>
        <w:spacing w:before="104" w:line="187" w:lineRule="auto"/>
        <w:ind w:firstLine="457" w:firstLineChars="105"/>
        <w:jc w:val="center"/>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14:textOutline w14:w="5793" w14:cap="sq" w14:cmpd="sng">
            <w14:solidFill>
              <w14:srgbClr w14:val="000000"/>
            </w14:solidFill>
            <w14:prstDash w14:val="solid"/>
            <w14:bevel/>
          </w14:textOutline>
        </w:rPr>
        <w:t>授权委托证明书</w:t>
      </w:r>
    </w:p>
    <w:p>
      <w:pPr>
        <w:spacing w:line="424" w:lineRule="auto"/>
        <w:rPr>
          <w:rFonts w:ascii="Arial"/>
          <w:color w:val="auto"/>
          <w:sz w:val="21"/>
          <w:highlight w:val="none"/>
          <w:shd w:val="clear" w:color="auto" w:fill="auto"/>
        </w:rPr>
      </w:pPr>
    </w:p>
    <w:p>
      <w:pPr>
        <w:pStyle w:val="2"/>
      </w:pPr>
    </w:p>
    <w:p>
      <w:pPr>
        <w:pStyle w:val="22"/>
        <w:spacing w:line="360" w:lineRule="auto"/>
        <w:ind w:firstLine="424" w:firstLineChars="177"/>
        <w:rPr>
          <w:rFonts w:hAnsi="宋体"/>
          <w:bCs/>
          <w:color w:val="auto"/>
          <w:sz w:val="24"/>
          <w:szCs w:val="24"/>
          <w:highlight w:val="none"/>
          <w:lang w:val="en-US" w:eastAsia="zh-CN"/>
        </w:rPr>
      </w:pPr>
      <w:r>
        <w:rPr>
          <w:rFonts w:hint="eastAsia" w:hAnsi="宋体"/>
          <w:bCs/>
          <w:color w:val="auto"/>
          <w:sz w:val="24"/>
          <w:szCs w:val="24"/>
          <w:highlight w:val="none"/>
          <w:lang w:val="en-US" w:eastAsia="zh-CN"/>
        </w:rPr>
        <w:t>兹授权</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（委托代理人姓名）为我方委托代理人，其权限是：</w:t>
      </w:r>
      <w:r>
        <w:rPr>
          <w:rFonts w:hint="eastAsia" w:hAnsi="宋体"/>
          <w:color w:val="auto"/>
          <w:sz w:val="24"/>
          <w:szCs w:val="24"/>
          <w:highlight w:val="none"/>
          <w:lang w:val="en-US" w:eastAsia="zh-CN"/>
        </w:rPr>
        <w:t>办理广州市人事服务中心组织的“2022年第一批广州市事业单位人员网上学习平台课程资源采购项目” 的投标事宜。</w:t>
      </w:r>
      <w:r>
        <w:rPr>
          <w:rFonts w:hint="eastAsia" w:hAnsi="宋体"/>
          <w:color w:val="auto"/>
          <w:sz w:val="24"/>
          <w:szCs w:val="24"/>
          <w:highlight w:val="none"/>
          <w:lang w:val="en-GB" w:eastAsia="zh-CN"/>
        </w:rPr>
        <w:t>本</w:t>
      </w:r>
      <w:r>
        <w:rPr>
          <w:rFonts w:hint="eastAsia" w:hAnsi="宋体"/>
          <w:color w:val="auto"/>
          <w:sz w:val="24"/>
          <w:szCs w:val="24"/>
          <w:highlight w:val="none"/>
          <w:lang w:val="en-US" w:eastAsia="zh-CN"/>
        </w:rPr>
        <w:t>授权书</w:t>
      </w:r>
      <w:r>
        <w:rPr>
          <w:rFonts w:hint="eastAsia" w:hAnsi="宋体"/>
          <w:color w:val="auto"/>
          <w:sz w:val="24"/>
          <w:szCs w:val="24"/>
          <w:highlight w:val="none"/>
          <w:lang w:val="en-GB" w:eastAsia="zh-CN"/>
        </w:rPr>
        <w:t>有效期与本公司投标文件中标注的投标有效期相同，自签章之日起生效。</w:t>
      </w:r>
    </w:p>
    <w:p>
      <w:pPr>
        <w:pStyle w:val="22"/>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附：代理人性别：</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val="en-US" w:eastAsia="zh-CN"/>
        </w:rPr>
        <w:t xml:space="preserve">      职务：</w:t>
      </w:r>
      <w:r>
        <w:rPr>
          <w:rFonts w:hint="eastAsia" w:hAnsi="宋体"/>
          <w:color w:val="auto"/>
          <w:sz w:val="24"/>
          <w:szCs w:val="24"/>
          <w:highlight w:val="none"/>
          <w:u w:val="single"/>
          <w:lang w:val="en-US" w:eastAsia="zh-CN"/>
        </w:rPr>
        <w:t xml:space="preserve">               </w:t>
      </w:r>
    </w:p>
    <w:p>
      <w:pPr>
        <w:pStyle w:val="22"/>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（营业执照等）注册号码：</w:t>
      </w:r>
      <w:r>
        <w:rPr>
          <w:rFonts w:hint="eastAsia" w:hAnsi="宋体"/>
          <w:color w:val="auto"/>
          <w:sz w:val="24"/>
          <w:szCs w:val="24"/>
          <w:highlight w:val="none"/>
          <w:u w:val="single"/>
          <w:lang w:val="en-US" w:eastAsia="zh-CN"/>
        </w:rPr>
        <w:t xml:space="preserve">                    </w:t>
      </w:r>
    </w:p>
    <w:p>
      <w:pPr>
        <w:pStyle w:val="22"/>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企业类型：</w:t>
      </w:r>
      <w:r>
        <w:rPr>
          <w:rFonts w:hint="eastAsia" w:hAnsi="宋体"/>
          <w:color w:val="auto"/>
          <w:sz w:val="24"/>
          <w:szCs w:val="24"/>
          <w:highlight w:val="none"/>
          <w:u w:val="single"/>
          <w:lang w:val="en-US" w:eastAsia="zh-CN"/>
        </w:rPr>
        <w:t xml:space="preserve">                  </w:t>
      </w:r>
    </w:p>
    <w:p>
      <w:pPr>
        <w:pStyle w:val="22"/>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经营范围：</w:t>
      </w:r>
      <w:r>
        <w:rPr>
          <w:rFonts w:hint="eastAsia" w:hAnsi="宋体"/>
          <w:color w:val="auto"/>
          <w:sz w:val="24"/>
          <w:szCs w:val="24"/>
          <w:highlight w:val="none"/>
          <w:u w:val="single"/>
          <w:lang w:val="en-US" w:eastAsia="zh-CN"/>
        </w:rPr>
        <w:t xml:space="preserve">                                                        </w:t>
      </w:r>
    </w:p>
    <w:p>
      <w:pPr>
        <w:pStyle w:val="22"/>
        <w:spacing w:line="360" w:lineRule="auto"/>
        <w:ind w:firstLine="480" w:firstLineChars="200"/>
        <w:rPr>
          <w:rFonts w:hAnsi="宋体"/>
          <w:color w:val="auto"/>
          <w:sz w:val="24"/>
          <w:szCs w:val="24"/>
          <w:highlight w:val="none"/>
          <w:lang w:val="en-US" w:eastAsia="zh-CN"/>
        </w:rPr>
      </w:pPr>
      <w:r>
        <w:rPr>
          <w:rFonts w:hint="eastAsia" w:hAnsi="宋体"/>
          <w:color w:val="auto"/>
          <w:sz w:val="24"/>
          <w:szCs w:val="24"/>
          <w:highlight w:val="none"/>
          <w:lang w:val="en-US" w:eastAsia="zh-CN"/>
        </w:rPr>
        <w:t>　　　　　　　</w:t>
      </w:r>
    </w:p>
    <w:p>
      <w:pPr>
        <w:pStyle w:val="24"/>
        <w:spacing w:line="360" w:lineRule="auto"/>
        <w:rPr>
          <w:rFonts w:hAnsi="宋体"/>
          <w:color w:val="auto"/>
          <w:sz w:val="24"/>
          <w:szCs w:val="24"/>
          <w:highlight w:val="none"/>
          <w:lang w:val="en-US" w:eastAsia="zh-CN"/>
        </w:rPr>
      </w:pPr>
    </w:p>
    <w:p>
      <w:pPr>
        <w:pStyle w:val="24"/>
        <w:spacing w:line="360" w:lineRule="auto"/>
        <w:ind w:firstLine="6000" w:firstLineChars="2500"/>
        <w:jc w:val="both"/>
        <w:rPr>
          <w:rFonts w:hAnsi="宋体"/>
          <w:color w:val="auto"/>
          <w:sz w:val="24"/>
          <w:szCs w:val="24"/>
          <w:highlight w:val="none"/>
          <w:lang w:val="en-US" w:eastAsia="zh-CN"/>
        </w:rPr>
      </w:pPr>
      <w:r>
        <w:rPr>
          <w:rFonts w:hint="eastAsia" w:hAnsi="宋体"/>
          <w:color w:val="auto"/>
          <w:sz w:val="24"/>
          <w:szCs w:val="24"/>
          <w:highlight w:val="none"/>
          <w:lang w:val="en-US" w:eastAsia="zh-CN"/>
        </w:rPr>
        <w:t>投标人全称（加盖公章） :</w:t>
      </w:r>
    </w:p>
    <w:p>
      <w:pPr>
        <w:pStyle w:val="24"/>
        <w:wordWrap w:val="0"/>
        <w:spacing w:line="360" w:lineRule="auto"/>
        <w:ind w:left="3400" w:leftChars="1619"/>
        <w:jc w:val="center"/>
        <w:rPr>
          <w:rFonts w:hAnsi="宋体"/>
          <w:color w:val="auto"/>
          <w:sz w:val="24"/>
          <w:szCs w:val="24"/>
          <w:highlight w:val="none"/>
          <w:lang w:val="en-US" w:eastAsia="zh-CN"/>
        </w:rPr>
      </w:pPr>
      <w:r>
        <w:rPr>
          <w:rFonts w:hint="eastAsia" w:hAnsi="宋体" w:cs="Arial"/>
          <w:color w:val="auto"/>
          <w:sz w:val="24"/>
          <w:szCs w:val="24"/>
          <w:highlight w:val="none"/>
          <w:lang w:val="en-US" w:eastAsia="zh-CN"/>
        </w:rPr>
        <w:t xml:space="preserve">             日期： 20  年   月   日</w:t>
      </w:r>
    </w:p>
    <w:p>
      <w:pPr>
        <w:pStyle w:val="24"/>
        <w:rPr>
          <w:rFonts w:hAnsi="宋体"/>
          <w:color w:val="auto"/>
          <w:sz w:val="24"/>
          <w:szCs w:val="24"/>
          <w:highlight w:val="none"/>
          <w:lang w:val="en-US" w:eastAsia="zh-CN"/>
        </w:rPr>
      </w:pPr>
    </w:p>
    <w:p>
      <w:pPr>
        <w:pStyle w:val="24"/>
        <w:spacing w:line="460" w:lineRule="exact"/>
        <w:ind w:left="720" w:hanging="720" w:hangingChars="300"/>
        <w:jc w:val="both"/>
        <w:rPr>
          <w:rFonts w:hAnsi="宋体" w:cs="仿宋_GB2312"/>
          <w:color w:val="auto"/>
          <w:sz w:val="24"/>
          <w:szCs w:val="24"/>
          <w:highlight w:val="none"/>
          <w:lang w:val="zh-CN" w:eastAsia="zh-CN"/>
        </w:rPr>
      </w:pPr>
      <w:r>
        <w:rPr>
          <w:rFonts w:hint="eastAsia" w:hAnsi="宋体" w:cs="仿宋_GB2312"/>
          <w:color w:val="auto"/>
          <w:sz w:val="24"/>
          <w:szCs w:val="24"/>
          <w:highlight w:val="none"/>
          <w:lang w:val="zh-CN" w:eastAsia="zh-CN"/>
        </w:rPr>
        <w:t>说明：</w:t>
      </w:r>
      <w:r>
        <w:rPr>
          <w:rFonts w:hAnsi="宋体" w:cs="仿宋_GB2312"/>
          <w:color w:val="auto"/>
          <w:sz w:val="24"/>
          <w:szCs w:val="24"/>
          <w:highlight w:val="none"/>
          <w:lang w:val="zh-CN" w:eastAsia="zh-CN"/>
        </w:rPr>
        <w:t>法定代表人亲自</w:t>
      </w:r>
      <w:r>
        <w:rPr>
          <w:rFonts w:hint="eastAsia" w:hAnsi="宋体" w:cs="仿宋_GB2312"/>
          <w:color w:val="auto"/>
          <w:sz w:val="24"/>
          <w:szCs w:val="24"/>
          <w:highlight w:val="none"/>
          <w:lang w:val="zh-CN" w:eastAsia="zh-CN"/>
        </w:rPr>
        <w:t>办理投标事宜的</w:t>
      </w:r>
      <w:r>
        <w:rPr>
          <w:rFonts w:hAnsi="宋体" w:cs="仿宋_GB2312"/>
          <w:color w:val="auto"/>
          <w:sz w:val="24"/>
          <w:szCs w:val="24"/>
          <w:highlight w:val="none"/>
          <w:lang w:val="zh-CN" w:eastAsia="zh-CN"/>
        </w:rPr>
        <w:t>，无需提交本</w:t>
      </w:r>
      <w:r>
        <w:rPr>
          <w:rFonts w:hint="eastAsia" w:hAnsi="宋体" w:cs="仿宋_GB2312"/>
          <w:color w:val="auto"/>
          <w:sz w:val="24"/>
          <w:szCs w:val="24"/>
          <w:highlight w:val="none"/>
          <w:lang w:val="zh-CN" w:eastAsia="zh-CN"/>
        </w:rPr>
        <w:t>证明书</w:t>
      </w:r>
      <w:r>
        <w:rPr>
          <w:rFonts w:hAnsi="宋体" w:cs="仿宋_GB2312"/>
          <w:color w:val="auto"/>
          <w:sz w:val="24"/>
          <w:szCs w:val="24"/>
          <w:highlight w:val="none"/>
          <w:lang w:val="zh-CN" w:eastAsia="zh-CN"/>
        </w:rPr>
        <w:t>。</w:t>
      </w:r>
    </w:p>
    <w:p>
      <w:pPr>
        <w:pStyle w:val="2"/>
        <w:rPr>
          <w:color w:val="auto"/>
          <w:highlight w:val="none"/>
          <w:shd w:val="clear" w:color="auto" w:fill="auto"/>
        </w:rPr>
      </w:pPr>
    </w:p>
    <w:p>
      <w:pPr>
        <w:rPr>
          <w:color w:val="auto"/>
          <w:highlight w:val="none"/>
          <w:shd w:val="clear" w:color="auto" w:fill="auto"/>
        </w:rPr>
      </w:pPr>
      <w:r>
        <w:rPr>
          <w:color w:val="auto"/>
          <w:highlight w:val="none"/>
          <w:shd w:val="clear" w:color="auto" w:fill="auto"/>
        </w:rPr>
        <w:br w:type="page"/>
      </w:r>
    </w:p>
    <w:p>
      <w:pPr>
        <w:pStyle w:val="2"/>
        <w:rPr>
          <w:color w:val="auto"/>
          <w:highlight w:val="none"/>
          <w:shd w:val="clear" w:color="auto" w:fill="auto"/>
        </w:rPr>
      </w:pPr>
    </w:p>
    <w:p>
      <w:pPr>
        <w:pStyle w:val="2"/>
      </w:pPr>
    </w:p>
    <w:p>
      <w:pPr>
        <w:spacing w:before="104" w:line="187" w:lineRule="auto"/>
        <w:ind w:firstLine="124"/>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ascii="黑体" w:hAnsi="黑体" w:eastAsia="黑体" w:cs="黑体"/>
          <w:color w:val="auto"/>
          <w:spacing w:val="-5"/>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71"/>
          <w:sz w:val="32"/>
          <w:szCs w:val="32"/>
          <w:highlight w:val="none"/>
          <w:shd w:val="clear" w:color="auto" w:fill="auto"/>
        </w:rPr>
        <w:t xml:space="preserve"> </w:t>
      </w:r>
      <w:r>
        <w:rPr>
          <w:rFonts w:hint="eastAsia" w:ascii="黑体" w:hAnsi="黑体" w:eastAsia="黑体" w:cs="黑体"/>
          <w:color w:val="auto"/>
          <w:spacing w:val="-71"/>
          <w:sz w:val="32"/>
          <w:szCs w:val="32"/>
          <w:highlight w:val="none"/>
          <w:shd w:val="clear" w:color="auto" w:fill="auto"/>
          <w:lang w:val="en-US" w:eastAsia="zh-CN"/>
        </w:rPr>
        <w:t>3</w:t>
      </w:r>
      <w:r>
        <w:rPr>
          <w:rFonts w:ascii="Arial" w:hAnsi="Arial" w:eastAsia="Arial" w:cs="Arial"/>
          <w:color w:val="auto"/>
          <w:sz w:val="32"/>
          <w:szCs w:val="32"/>
          <w:highlight w:val="none"/>
          <w:shd w:val="clear" w:color="auto" w:fill="auto"/>
        </w:rPr>
        <w:t xml:space="preserve">                    </w:t>
      </w:r>
      <w:r>
        <w:rPr>
          <w:rFonts w:hint="eastAsia" w:ascii="方正小标宋简体" w:hAnsi="方正小标宋简体" w:eastAsia="方正小标宋简体" w:cs="方正小标宋简体"/>
          <w:b w:val="0"/>
          <w:bCs w:val="0"/>
          <w:color w:val="auto"/>
          <w:sz w:val="44"/>
          <w:szCs w:val="44"/>
          <w:highlight w:val="none"/>
          <w:shd w:val="clear" w:color="auto" w:fill="auto"/>
        </w:rPr>
        <w:t xml:space="preserve"> </w:t>
      </w:r>
      <w:r>
        <w:rPr>
          <w:rFonts w:hint="eastAsia" w:ascii="方正小标宋简体" w:hAnsi="方正小标宋简体" w:eastAsia="方正小标宋简体" w:cs="方正小标宋简体"/>
          <w:b w:val="0"/>
          <w:bCs w:val="0"/>
          <w:color w:val="auto"/>
          <w:spacing w:val="-5"/>
          <w:sz w:val="44"/>
          <w:szCs w:val="44"/>
          <w:highlight w:val="none"/>
          <w:shd w:val="clear" w:color="auto" w:fill="auto"/>
          <w14:textOutline w14:w="5793" w14:cap="sq" w14:cmpd="sng">
            <w14:solidFill>
              <w14:srgbClr w14:val="000000"/>
            </w14:solidFill>
            <w14:prstDash w14:val="solid"/>
            <w14:bevel/>
          </w14:textOutline>
        </w:rPr>
        <w:t>资格声明函</w:t>
      </w:r>
    </w:p>
    <w:p>
      <w:pPr>
        <w:spacing w:line="299" w:lineRule="auto"/>
        <w:rPr>
          <w:rFonts w:ascii="Arial"/>
          <w:color w:val="auto"/>
          <w:sz w:val="21"/>
          <w:highlight w:val="none"/>
          <w:shd w:val="clear" w:color="auto" w:fill="auto"/>
        </w:rPr>
      </w:pPr>
    </w:p>
    <w:p>
      <w:pPr>
        <w:spacing w:line="299" w:lineRule="auto"/>
        <w:rPr>
          <w:rFonts w:ascii="Arial"/>
          <w:color w:val="auto"/>
          <w:sz w:val="21"/>
          <w:highlight w:val="none"/>
          <w:shd w:val="clear" w:color="auto" w:fill="auto"/>
        </w:rPr>
      </w:pPr>
    </w:p>
    <w:p>
      <w:pPr>
        <w:spacing w:before="78" w:line="184" w:lineRule="auto"/>
        <w:ind w:firstLine="12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广</w:t>
      </w:r>
      <w:r>
        <w:rPr>
          <w:rFonts w:hint="eastAsia" w:ascii="宋体" w:hAnsi="宋体" w:eastAsia="宋体" w:cs="宋体"/>
          <w:color w:val="auto"/>
          <w:sz w:val="24"/>
          <w:szCs w:val="24"/>
          <w:highlight w:val="none"/>
          <w:shd w:val="clear" w:color="auto" w:fill="auto"/>
          <w:lang w:val="en-US" w:eastAsia="zh-CN"/>
          <w14:textOutline w14:w="4358" w14:cap="sq" w14:cmpd="sng">
            <w14:solidFill>
              <w14:srgbClr w14:val="000000"/>
            </w14:solidFill>
            <w14:prstDash w14:val="solid"/>
            <w14:bevel/>
          </w14:textOutline>
        </w:rPr>
        <w:t>州市人事服务中心</w:t>
      </w: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w:t>
      </w:r>
    </w:p>
    <w:p>
      <w:pPr>
        <w:spacing w:before="106" w:line="271" w:lineRule="auto"/>
        <w:ind w:left="122" w:right="315" w:firstLine="539"/>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我方愿响应你方</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年</w:t>
      </w:r>
      <w:r>
        <w:rPr>
          <w:rFonts w:ascii="宋体" w:hAnsi="宋体" w:eastAsia="宋体" w:cs="宋体"/>
          <w:color w:val="auto"/>
          <w:spacing w:val="3"/>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月</w:t>
      </w:r>
      <w:r>
        <w:rPr>
          <w:rFonts w:ascii="宋体" w:hAnsi="宋体" w:eastAsia="宋体" w:cs="宋体"/>
          <w:color w:val="auto"/>
          <w:spacing w:val="9"/>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日发布的</w:t>
      </w:r>
      <w:r>
        <w:rPr>
          <w:rFonts w:ascii="宋体" w:hAnsi="宋体" w:eastAsia="宋体" w:cs="宋体"/>
          <w:color w:val="auto"/>
          <w:spacing w:val="2"/>
          <w:sz w:val="24"/>
          <w:szCs w:val="24"/>
          <w:highlight w:val="none"/>
          <w:u w:val="single" w:color="auto"/>
          <w:shd w:val="clear" w:color="auto" w:fill="auto"/>
        </w:rPr>
        <w:t xml:space="preserve"> </w:t>
      </w:r>
      <w:r>
        <w:rPr>
          <w:rFonts w:hint="eastAsia" w:ascii="宋体" w:hAnsi="宋体" w:eastAsia="宋体" w:cs="宋体"/>
          <w:color w:val="auto"/>
          <w:spacing w:val="2"/>
          <w:sz w:val="24"/>
          <w:szCs w:val="24"/>
          <w:highlight w:val="none"/>
          <w:u w:val="single" w:color="auto"/>
          <w:shd w:val="clear" w:color="auto" w:fill="auto"/>
        </w:rPr>
        <w:t>2022年第一批广州市事业单位人员网上学习平台课程资源采购</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u w:val="single" w:color="auto"/>
          <w:shd w:val="clear" w:color="auto" w:fill="auto"/>
        </w:rPr>
        <w:t>项目</w:t>
      </w:r>
      <w:r>
        <w:rPr>
          <w:rFonts w:ascii="宋体" w:hAnsi="宋体" w:eastAsia="宋体" w:cs="宋体"/>
          <w:color w:val="auto"/>
          <w:spacing w:val="-3"/>
          <w:sz w:val="24"/>
          <w:szCs w:val="24"/>
          <w:highlight w:val="none"/>
          <w:shd w:val="clear" w:color="auto" w:fill="auto"/>
        </w:rPr>
        <w:t>投标邀请，参与</w:t>
      </w:r>
      <w:r>
        <w:rPr>
          <w:rFonts w:ascii="宋体" w:hAnsi="宋体" w:eastAsia="宋体" w:cs="宋体"/>
          <w:color w:val="auto"/>
          <w:spacing w:val="-1"/>
          <w:sz w:val="24"/>
          <w:szCs w:val="24"/>
          <w:highlight w:val="none"/>
          <w:shd w:val="clear" w:color="auto" w:fill="auto"/>
        </w:rPr>
        <w:t>投标，提供采购人需求中规定的全部内容，并按招标文件要求提交所附资格文件且声明和保证如下：</w:t>
      </w:r>
    </w:p>
    <w:p>
      <w:pPr>
        <w:spacing w:before="201" w:line="315" w:lineRule="auto"/>
        <w:ind w:left="1079" w:right="408" w:hanging="40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我方为本次投标所提交的所有证明我方资格的文件、以及提供货物和服务合格的证明文件是真</w:t>
      </w:r>
      <w:r>
        <w:rPr>
          <w:rFonts w:ascii="宋体" w:hAnsi="宋体" w:eastAsia="宋体" w:cs="宋体"/>
          <w:color w:val="auto"/>
          <w:spacing w:val="-5"/>
          <w:sz w:val="24"/>
          <w:szCs w:val="24"/>
          <w:highlight w:val="none"/>
          <w:shd w:val="clear" w:color="auto" w:fill="auto"/>
        </w:rPr>
        <w:t>实的和正确的，并愿为其真实性和正确性承担法律责任；</w:t>
      </w:r>
      <w:r>
        <w:rPr>
          <w:rFonts w:ascii="宋体" w:hAnsi="宋体" w:eastAsia="宋体" w:cs="宋体"/>
          <w:color w:val="auto"/>
          <w:spacing w:val="90"/>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核验我方提供相关复印件与原件不一</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致的，或我方无法在规定时间内提供原件的，采购人或</w:t>
      </w:r>
      <w:r>
        <w:rPr>
          <w:rFonts w:hint="eastAsia" w:ascii="宋体" w:hAnsi="宋体" w:eastAsia="宋体" w:cs="宋体"/>
          <w:color w:val="auto"/>
          <w:spacing w:val="-1"/>
          <w:sz w:val="24"/>
          <w:szCs w:val="24"/>
          <w:highlight w:val="none"/>
          <w:shd w:val="clear" w:color="auto" w:fill="auto"/>
          <w:lang w:eastAsia="zh-CN"/>
        </w:rPr>
        <w:t>采购机构</w:t>
      </w:r>
      <w:r>
        <w:rPr>
          <w:rFonts w:ascii="宋体" w:hAnsi="宋体" w:eastAsia="宋体" w:cs="宋体"/>
          <w:color w:val="auto"/>
          <w:spacing w:val="-1"/>
          <w:sz w:val="24"/>
          <w:szCs w:val="24"/>
          <w:highlight w:val="none"/>
          <w:shd w:val="clear" w:color="auto" w:fill="auto"/>
        </w:rPr>
        <w:t>有权取消我方投标或中标</w:t>
      </w:r>
      <w:r>
        <w:rPr>
          <w:rFonts w:ascii="宋体" w:hAnsi="宋体" w:eastAsia="宋体" w:cs="宋体"/>
          <w:color w:val="auto"/>
          <w:spacing w:val="-6"/>
          <w:sz w:val="24"/>
          <w:szCs w:val="24"/>
          <w:highlight w:val="none"/>
          <w:shd w:val="clear" w:color="auto" w:fill="auto"/>
        </w:rPr>
        <w:t>资格；</w:t>
      </w:r>
      <w:r>
        <w:rPr>
          <w:rFonts w:ascii="宋体" w:hAnsi="宋体" w:eastAsia="宋体" w:cs="宋体"/>
          <w:color w:val="auto"/>
          <w:spacing w:val="65"/>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我方履行合同时提供给采购人的货物及服务与投标承诺一致。</w:t>
      </w:r>
    </w:p>
    <w:p>
      <w:pPr>
        <w:spacing w:before="199" w:line="271" w:lineRule="auto"/>
        <w:ind w:left="1078" w:right="408" w:hanging="416"/>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2.</w:t>
      </w:r>
      <w:r>
        <w:rPr>
          <w:rFonts w:ascii="宋体" w:hAnsi="宋体" w:eastAsia="宋体" w:cs="宋体"/>
          <w:color w:val="auto"/>
          <w:spacing w:val="7"/>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我方在参与本次投标时，符合《中华人民共和国政府采购法》</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第二十二条投标人资格条件要求</w:t>
      </w:r>
      <w:r>
        <w:rPr>
          <w:rFonts w:ascii="宋体" w:hAnsi="宋体" w:eastAsia="宋体" w:cs="宋体"/>
          <w:color w:val="auto"/>
          <w:spacing w:val="-1"/>
          <w:sz w:val="24"/>
          <w:szCs w:val="24"/>
          <w:highlight w:val="none"/>
          <w:shd w:val="clear" w:color="auto" w:fill="auto"/>
        </w:rPr>
        <w:t>及法律、行政法规规定的其他条件。</w:t>
      </w:r>
    </w:p>
    <w:p>
      <w:pPr>
        <w:spacing w:before="199" w:line="184" w:lineRule="auto"/>
        <w:ind w:firstLine="66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3.</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我方具有履行合同所必须的设备和专业技术能力。</w:t>
      </w:r>
    </w:p>
    <w:p>
      <w:pPr>
        <w:spacing w:before="201" w:line="184" w:lineRule="auto"/>
        <w:ind w:firstLine="65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4.</w:t>
      </w:r>
      <w:r>
        <w:rPr>
          <w:rFonts w:ascii="宋体" w:hAnsi="宋体" w:eastAsia="宋体" w:cs="宋体"/>
          <w:color w:val="auto"/>
          <w:spacing w:val="1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我方在参加本次政府采购活动前</w:t>
      </w:r>
      <w:r>
        <w:rPr>
          <w:rFonts w:ascii="宋体" w:hAnsi="宋体" w:eastAsia="宋体" w:cs="宋体"/>
          <w:color w:val="auto"/>
          <w:spacing w:val="-1"/>
          <w:sz w:val="24"/>
          <w:szCs w:val="24"/>
          <w:highlight w:val="none"/>
          <w:u w:val="single" w:color="auto"/>
          <w:shd w:val="clear" w:color="auto" w:fill="auto"/>
        </w:rPr>
        <w:t>三</w:t>
      </w:r>
      <w:r>
        <w:rPr>
          <w:rFonts w:ascii="宋体" w:hAnsi="宋体" w:eastAsia="宋体" w:cs="宋体"/>
          <w:color w:val="auto"/>
          <w:spacing w:val="-1"/>
          <w:sz w:val="24"/>
          <w:szCs w:val="24"/>
          <w:highlight w:val="none"/>
          <w:shd w:val="clear" w:color="auto" w:fill="auto"/>
        </w:rPr>
        <w:t>年内在经营活动中没有重大违法记录。</w:t>
      </w:r>
    </w:p>
    <w:p>
      <w:pPr>
        <w:spacing w:before="199" w:line="184" w:lineRule="auto"/>
        <w:ind w:firstLine="66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5.</w:t>
      </w:r>
      <w:r>
        <w:rPr>
          <w:rFonts w:ascii="宋体" w:hAnsi="宋体" w:eastAsia="宋体" w:cs="宋体"/>
          <w:color w:val="auto"/>
          <w:spacing w:val="10"/>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我方如中标，除不可抗力原因外，将在规定时间内与采购人签订合同。</w:t>
      </w:r>
    </w:p>
    <w:p>
      <w:pPr>
        <w:keepNext w:val="0"/>
        <w:keepLines w:val="0"/>
        <w:pageBreakBefore w:val="0"/>
        <w:widowControl w:val="0"/>
        <w:kinsoku/>
        <w:wordWrap/>
        <w:overflowPunct/>
        <w:topLinePunct w:val="0"/>
        <w:autoSpaceDE/>
        <w:autoSpaceDN/>
        <w:bidi w:val="0"/>
        <w:adjustRightInd/>
        <w:snapToGrid/>
        <w:spacing w:before="201" w:line="315" w:lineRule="auto"/>
        <w:ind w:left="0" w:right="0" w:firstLine="476" w:firstLineChars="200"/>
        <w:jc w:val="left"/>
        <w:textAlignment w:val="auto"/>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如有违反上述声明之情形或我方声明与事实不符，我方对被取消中标资格无异议，同时，我方无条件接受相关部门以提供虚假材料谋取中标处理。</w:t>
      </w:r>
    </w:p>
    <w:p>
      <w:pPr>
        <w:pStyle w:val="2"/>
        <w:rPr>
          <w:sz w:val="24"/>
          <w:szCs w:val="24"/>
        </w:rPr>
      </w:pPr>
    </w:p>
    <w:p>
      <w:pPr>
        <w:spacing w:before="259" w:line="184" w:lineRule="auto"/>
        <w:ind w:firstLine="122"/>
        <w:rPr>
          <w:rFonts w:ascii="宋体" w:hAnsi="宋体" w:eastAsia="宋体" w:cs="宋体"/>
          <w:color w:val="auto"/>
          <w:sz w:val="24"/>
          <w:szCs w:val="24"/>
          <w:highlight w:val="none"/>
          <w:shd w:val="clear" w:color="auto" w:fill="auto"/>
        </w:rPr>
      </w:pPr>
      <w:r>
        <w:rPr>
          <w:rFonts w:ascii="宋体" w:hAnsi="宋体" w:eastAsia="宋体" w:cs="宋体"/>
          <w:color w:val="auto"/>
          <w:spacing w:val="-9"/>
          <w:sz w:val="24"/>
          <w:szCs w:val="24"/>
          <w:highlight w:val="none"/>
          <w:shd w:val="clear" w:color="auto" w:fill="auto"/>
        </w:rPr>
        <w:t>投标人全称（加盖公章）</w:t>
      </w:r>
      <w:r>
        <w:rPr>
          <w:rFonts w:ascii="宋体" w:hAnsi="宋体" w:eastAsia="宋体" w:cs="宋体"/>
          <w:color w:val="auto"/>
          <w:spacing w:val="32"/>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w:t>
      </w:r>
    </w:p>
    <w:p>
      <w:pPr>
        <w:spacing w:before="259" w:line="184" w:lineRule="auto"/>
        <w:ind w:firstLine="122"/>
        <w:rPr>
          <w:rFonts w:hint="eastAsia" w:ascii="宋体" w:hAnsi="宋体" w:eastAsia="宋体" w:cs="宋体"/>
          <w:color w:val="auto"/>
          <w:spacing w:val="-9"/>
          <w:sz w:val="24"/>
          <w:szCs w:val="24"/>
          <w:highlight w:val="none"/>
          <w:shd w:val="clear" w:color="auto" w:fill="auto"/>
        </w:rPr>
      </w:pPr>
      <w:r>
        <w:rPr>
          <w:rFonts w:hint="eastAsia" w:ascii="宋体" w:hAnsi="宋体" w:eastAsia="宋体" w:cs="宋体"/>
          <w:color w:val="auto"/>
          <w:spacing w:val="-9"/>
          <w:sz w:val="24"/>
          <w:szCs w:val="24"/>
          <w:highlight w:val="none"/>
          <w:shd w:val="clear" w:color="auto" w:fill="auto"/>
        </w:rPr>
        <w:t>法定代表人</w:t>
      </w:r>
      <w:r>
        <w:rPr>
          <w:rFonts w:hint="eastAsia" w:ascii="宋体" w:hAnsi="宋体" w:cs="宋体"/>
          <w:color w:val="auto"/>
          <w:spacing w:val="-9"/>
          <w:sz w:val="24"/>
          <w:szCs w:val="24"/>
          <w:highlight w:val="none"/>
          <w:shd w:val="clear" w:color="auto" w:fill="auto"/>
          <w:lang w:val="en-US" w:eastAsia="zh-CN"/>
        </w:rPr>
        <w:t>/负责人</w:t>
      </w:r>
      <w:r>
        <w:rPr>
          <w:rFonts w:hint="eastAsia" w:ascii="宋体" w:hAnsi="宋体" w:eastAsia="宋体" w:cs="宋体"/>
          <w:color w:val="auto"/>
          <w:spacing w:val="-9"/>
          <w:sz w:val="24"/>
          <w:szCs w:val="24"/>
          <w:highlight w:val="none"/>
          <w:shd w:val="clear" w:color="auto" w:fill="auto"/>
        </w:rPr>
        <w:t xml:space="preserve">或其投标人授权代表(签字)：                  日    期：      年 </w:t>
      </w:r>
      <w:r>
        <w:rPr>
          <w:rFonts w:hint="eastAsia" w:ascii="宋体" w:hAnsi="宋体" w:cs="宋体"/>
          <w:color w:val="auto"/>
          <w:spacing w:val="-9"/>
          <w:sz w:val="24"/>
          <w:szCs w:val="24"/>
          <w:highlight w:val="none"/>
          <w:shd w:val="clear" w:color="auto" w:fill="auto"/>
          <w:lang w:val="en-US" w:eastAsia="zh-CN"/>
        </w:rPr>
        <w:t xml:space="preserve"> </w:t>
      </w:r>
      <w:r>
        <w:rPr>
          <w:rFonts w:hint="eastAsia" w:ascii="宋体" w:hAnsi="宋体" w:eastAsia="宋体" w:cs="宋体"/>
          <w:color w:val="auto"/>
          <w:spacing w:val="-9"/>
          <w:sz w:val="24"/>
          <w:szCs w:val="24"/>
          <w:highlight w:val="none"/>
          <w:shd w:val="clear" w:color="auto" w:fill="auto"/>
        </w:rPr>
        <w:t xml:space="preserve">  月  </w:t>
      </w:r>
      <w:r>
        <w:rPr>
          <w:rFonts w:hint="eastAsia" w:ascii="宋体" w:hAnsi="宋体" w:cs="宋体"/>
          <w:color w:val="auto"/>
          <w:spacing w:val="-9"/>
          <w:sz w:val="24"/>
          <w:szCs w:val="24"/>
          <w:highlight w:val="none"/>
          <w:shd w:val="clear" w:color="auto" w:fill="auto"/>
          <w:lang w:val="en-US" w:eastAsia="zh-CN"/>
        </w:rPr>
        <w:t xml:space="preserve"> </w:t>
      </w:r>
      <w:r>
        <w:rPr>
          <w:rFonts w:hint="eastAsia" w:ascii="宋体" w:hAnsi="宋体" w:eastAsia="宋体" w:cs="宋体"/>
          <w:color w:val="auto"/>
          <w:spacing w:val="-9"/>
          <w:sz w:val="24"/>
          <w:szCs w:val="24"/>
          <w:highlight w:val="none"/>
          <w:shd w:val="clear" w:color="auto" w:fill="auto"/>
        </w:rPr>
        <w:t xml:space="preserve"> 日</w:t>
      </w: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rPr>
          <w:rFonts w:ascii="Arial"/>
          <w:color w:val="auto"/>
          <w:sz w:val="21"/>
          <w:highlight w:val="none"/>
          <w:shd w:val="clear" w:color="auto" w:fill="auto"/>
        </w:rPr>
      </w:pPr>
      <w:r>
        <w:rPr>
          <w:rFonts w:ascii="Arial"/>
          <w:color w:val="auto"/>
          <w:sz w:val="21"/>
          <w:highlight w:val="none"/>
          <w:shd w:val="clear" w:color="auto" w:fill="auto"/>
        </w:rPr>
        <w:br w:type="page"/>
      </w:r>
    </w:p>
    <w:p>
      <w:pPr>
        <w:spacing w:line="308" w:lineRule="auto"/>
        <w:rPr>
          <w:rFonts w:ascii="Arial"/>
          <w:color w:val="auto"/>
          <w:sz w:val="21"/>
          <w:highlight w:val="none"/>
          <w:shd w:val="clear" w:color="auto" w:fill="auto"/>
        </w:rPr>
      </w:pPr>
      <w:r>
        <w:rPr>
          <w:rFonts w:ascii="黑体" w:hAnsi="黑体" w:eastAsia="黑体" w:cs="黑体"/>
          <w:color w:val="auto"/>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104" w:line="188" w:lineRule="auto"/>
        <w:ind w:firstLine="11"/>
        <w:textAlignment w:val="auto"/>
        <w:outlineLvl w:val="2"/>
        <w:rPr>
          <w:rFonts w:hint="eastAsia" w:ascii="黑体" w:hAnsi="黑体" w:eastAsia="黑体" w:cs="黑体"/>
          <w:color w:val="auto"/>
          <w:sz w:val="32"/>
          <w:szCs w:val="32"/>
          <w:highlight w:val="none"/>
          <w:shd w:val="clear" w:color="auto" w:fill="auto"/>
          <w:lang w:eastAsia="zh-CN"/>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66"/>
          <w:sz w:val="32"/>
          <w:szCs w:val="32"/>
          <w:highlight w:val="none"/>
          <w:shd w:val="clear" w:color="auto" w:fill="auto"/>
        </w:rPr>
        <w:t xml:space="preserve"> </w:t>
      </w:r>
      <w:r>
        <w:rPr>
          <w:rFonts w:hint="eastAsia" w:ascii="黑体" w:hAnsi="黑体" w:eastAsia="黑体" w:cs="黑体"/>
          <w:color w:val="auto"/>
          <w:spacing w:val="-2"/>
          <w:sz w:val="32"/>
          <w:szCs w:val="32"/>
          <w:highlight w:val="none"/>
          <w:shd w:val="clear" w:color="auto" w:fill="auto"/>
          <w:lang w:val="en-US" w:eastAsia="zh-CN"/>
          <w14:textOutline w14:w="5793" w14:cap="sq" w14:cmpd="sng">
            <w14:solidFill>
              <w14:srgbClr w14:val="000000"/>
            </w14:solidFill>
            <w14:prstDash w14:val="solid"/>
            <w14:bevel/>
          </w14:textOutline>
        </w:rPr>
        <w:t>4</w:t>
      </w:r>
    </w:p>
    <w:p>
      <w:pPr>
        <w:spacing w:line="347"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104" w:line="187" w:lineRule="auto"/>
        <w:ind w:firstLine="4037"/>
        <w:jc w:val="both"/>
        <w:textAlignment w:val="auto"/>
        <w:outlineLvl w:val="9"/>
        <w:rPr>
          <w:rFonts w:hint="eastAsia"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pacing w:val="-6"/>
          <w:sz w:val="44"/>
          <w:szCs w:val="44"/>
          <w:highlight w:val="none"/>
          <w:shd w:val="clear" w:color="auto" w:fill="auto"/>
        </w:rPr>
        <w:t>中小企业声明函</w:t>
      </w:r>
    </w:p>
    <w:p>
      <w:pPr>
        <w:keepNext w:val="0"/>
        <w:keepLines w:val="0"/>
        <w:pageBreakBefore w:val="0"/>
        <w:widowControl w:val="0"/>
        <w:kinsoku/>
        <w:wordWrap/>
        <w:overflowPunct/>
        <w:topLinePunct w:val="0"/>
        <w:autoSpaceDE/>
        <w:autoSpaceDN/>
        <w:bidi w:val="0"/>
        <w:adjustRightInd/>
        <w:snapToGrid/>
        <w:spacing w:line="464" w:lineRule="auto"/>
        <w:textAlignment w:val="auto"/>
        <w:outlineLvl w:val="9"/>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8" w:line="184" w:lineRule="auto"/>
        <w:jc w:val="center"/>
        <w:textAlignment w:val="auto"/>
        <w:outlineLvl w:val="9"/>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（适用于投标人为中小企业</w:t>
      </w:r>
      <w:r>
        <w:rPr>
          <w:rFonts w:hint="eastAsia" w:ascii="宋体" w:hAnsi="宋体" w:cs="宋体"/>
          <w:color w:val="auto"/>
          <w:spacing w:val="-2"/>
          <w:sz w:val="24"/>
          <w:szCs w:val="24"/>
          <w:highlight w:val="none"/>
          <w:shd w:val="clear" w:color="auto" w:fill="auto"/>
          <w:lang w:eastAsia="zh-CN"/>
        </w:rPr>
        <w:t>，</w:t>
      </w:r>
      <w:r>
        <w:rPr>
          <w:rFonts w:hint="eastAsia" w:ascii="宋体" w:hAnsi="宋体" w:cs="宋体"/>
          <w:color w:val="auto"/>
          <w:spacing w:val="-2"/>
          <w:sz w:val="24"/>
          <w:szCs w:val="24"/>
          <w:highlight w:val="none"/>
          <w:shd w:val="clear" w:color="auto" w:fill="auto"/>
          <w:lang w:val="en-US" w:eastAsia="zh-CN"/>
        </w:rPr>
        <w:t>非中小企业可不提供</w:t>
      </w:r>
      <w:r>
        <w:rPr>
          <w:rFonts w:ascii="宋体" w:hAnsi="宋体" w:eastAsia="宋体" w:cs="宋体"/>
          <w:color w:val="auto"/>
          <w:spacing w:val="-2"/>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61" w:lineRule="auto"/>
        <w:textAlignment w:val="auto"/>
        <w:outlineLvl w:val="9"/>
        <w:rPr>
          <w:rFonts w:ascii="Arial"/>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9" w:line="413" w:lineRule="auto"/>
        <w:ind w:left="15" w:right="200" w:firstLine="518"/>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本公司郑重声明，根据《政府采购促进中小企业发展暂行办法》</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（财库[2011]181</w:t>
      </w:r>
      <w:r>
        <w:rPr>
          <w:rFonts w:hint="eastAsia" w:ascii="宋体" w:hAnsi="宋体" w:eastAsia="宋体" w:cs="宋体"/>
          <w:color w:val="auto"/>
          <w:spacing w:val="1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号）</w:t>
      </w:r>
      <w:r>
        <w:rPr>
          <w:rFonts w:hint="eastAsia" w:ascii="宋体" w:hAnsi="宋体" w:eastAsia="宋体" w:cs="宋体"/>
          <w:color w:val="auto"/>
          <w:spacing w:val="27"/>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的规定，本公</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司为（请填写：</w:t>
      </w:r>
      <w:r>
        <w:rPr>
          <w:rFonts w:hint="eastAsia" w:ascii="宋体" w:hAnsi="宋体" w:eastAsia="宋体" w:cs="宋体"/>
          <w:color w:val="auto"/>
          <w:spacing w:val="49"/>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中型、小型、微型）</w:t>
      </w:r>
      <w:r>
        <w:rPr>
          <w:rFonts w:hint="eastAsia" w:ascii="宋体" w:hAnsi="宋体" w:eastAsia="宋体" w:cs="宋体"/>
          <w:color w:val="auto"/>
          <w:spacing w:val="19"/>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企业。即，本公司同时满足以下条件：</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1、根据《工业和信息化部、国家统计局、国家发展和改革委员会、财政部关于印发中小企业划型标准规定</w:t>
      </w:r>
      <w:r>
        <w:rPr>
          <w:rFonts w:hint="eastAsia" w:ascii="宋体" w:hAnsi="宋体" w:eastAsia="宋体" w:cs="宋体"/>
          <w:color w:val="auto"/>
          <w:spacing w:val="1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的通知》</w:t>
      </w:r>
      <w:r>
        <w:rPr>
          <w:rFonts w:hint="eastAsia"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（工信部联企业[2011]300</w:t>
      </w:r>
      <w:r>
        <w:rPr>
          <w:rFonts w:hint="eastAsia" w:ascii="宋体" w:hAnsi="宋体" w:eastAsia="宋体" w:cs="宋体"/>
          <w:color w:val="auto"/>
          <w:spacing w:val="14"/>
          <w:w w:val="10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号）</w:t>
      </w:r>
      <w:r>
        <w:rPr>
          <w:rFonts w:hint="eastAsia" w:ascii="宋体" w:hAnsi="宋体" w:eastAsia="宋体" w:cs="宋体"/>
          <w:color w:val="auto"/>
          <w:spacing w:val="1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规定的划分标准，本公司为（请填写：</w:t>
      </w:r>
      <w:r>
        <w:rPr>
          <w:rFonts w:hint="eastAsia" w:ascii="宋体" w:hAnsi="宋体" w:eastAsia="宋体" w:cs="宋体"/>
          <w:color w:val="auto"/>
          <w:spacing w:val="47"/>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中型、小型、微型）</w:t>
      </w:r>
      <w:r>
        <w:rPr>
          <w:rFonts w:hint="eastAsia" w:ascii="宋体" w:hAnsi="宋体" w:eastAsia="宋体" w:cs="宋体"/>
          <w:color w:val="auto"/>
          <w:spacing w:val="17"/>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企</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业。</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2、本公司参加     (采购人单位名称)        的   (项目名称)              采购活动提供</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本企业制造的货物，由本企业承担工程、提供服务，或者提供其他（请填写： 中型、小型、微型） 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27" w:lineRule="auto"/>
        <w:textAlignment w:val="auto"/>
        <w:outlineLvl w:val="9"/>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27" w:lineRule="auto"/>
        <w:textAlignment w:val="auto"/>
        <w:outlineLvl w:val="9"/>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9" w:line="184" w:lineRule="auto"/>
        <w:ind w:firstLine="5575"/>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投标人名称（盖章</w:t>
      </w:r>
      <w:r>
        <w:rPr>
          <w:rFonts w:hint="eastAsia" w:ascii="宋体" w:hAnsi="宋体" w:eastAsia="宋体" w:cs="宋体"/>
          <w:color w:val="auto"/>
          <w:spacing w:val="-58"/>
          <w:sz w:val="24"/>
          <w:szCs w:val="24"/>
          <w:highlight w:val="none"/>
          <w:shd w:val="clear" w:color="auto" w:fill="auto"/>
        </w:rPr>
        <w:t>）</w:t>
      </w:r>
      <w:r>
        <w:rPr>
          <w:rFonts w:hint="eastAsia" w:ascii="宋体" w:hAnsi="宋体" w:eastAsia="宋体" w:cs="宋体"/>
          <w:color w:val="auto"/>
          <w:spacing w:val="-18"/>
          <w:sz w:val="24"/>
          <w:szCs w:val="24"/>
          <w:highlight w:val="none"/>
          <w:shd w:val="clear" w:color="auto" w:fill="auto"/>
        </w:rPr>
        <w:t xml:space="preserve"> </w:t>
      </w:r>
      <w:r>
        <w:rPr>
          <w:rFonts w:hint="eastAsia" w:ascii="宋体" w:hAnsi="宋体" w:eastAsia="宋体" w:cs="宋体"/>
          <w:color w:val="auto"/>
          <w:spacing w:val="-58"/>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259" w:line="184" w:lineRule="auto"/>
        <w:ind w:firstLine="5661"/>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9"/>
          <w:sz w:val="24"/>
          <w:szCs w:val="24"/>
          <w:highlight w:val="none"/>
          <w:shd w:val="clear" w:color="auto" w:fill="auto"/>
        </w:rPr>
        <w:t>日</w:t>
      </w:r>
      <w:r>
        <w:rPr>
          <w:rFonts w:hint="eastAsia" w:ascii="宋体" w:hAnsi="宋体" w:eastAsia="宋体" w:cs="宋体"/>
          <w:color w:val="auto"/>
          <w:spacing w:val="1"/>
          <w:sz w:val="24"/>
          <w:szCs w:val="24"/>
          <w:highlight w:val="none"/>
          <w:shd w:val="clear" w:color="auto" w:fill="auto"/>
        </w:rPr>
        <w:t xml:space="preserve">          </w:t>
      </w:r>
      <w:r>
        <w:rPr>
          <w:rFonts w:hint="eastAsia" w:ascii="宋体" w:hAnsi="宋体" w:eastAsia="宋体" w:cs="宋体"/>
          <w:color w:val="auto"/>
          <w:spacing w:val="-19"/>
          <w:sz w:val="24"/>
          <w:szCs w:val="24"/>
          <w:highlight w:val="none"/>
          <w:shd w:val="clear" w:color="auto" w:fill="auto"/>
        </w:rPr>
        <w:t>期：</w:t>
      </w:r>
    </w:p>
    <w:p>
      <w:pPr>
        <w:keepNext w:val="0"/>
        <w:keepLines w:val="0"/>
        <w:pageBreakBefore w:val="0"/>
        <w:widowControl w:val="0"/>
        <w:kinsoku/>
        <w:wordWrap/>
        <w:overflowPunct/>
        <w:topLinePunct w:val="0"/>
        <w:autoSpaceDE/>
        <w:autoSpaceDN/>
        <w:bidi w:val="0"/>
        <w:adjustRightInd/>
        <w:snapToGrid/>
        <w:spacing w:before="104" w:line="188" w:lineRule="auto"/>
        <w:ind w:firstLine="11"/>
        <w:textAlignment w:val="auto"/>
        <w:outlineLvl w:val="2"/>
        <w:rPr>
          <w:rFonts w:hint="eastAsia" w:ascii="黑体" w:hAnsi="黑体" w:eastAsia="黑体" w:cs="黑体"/>
          <w:color w:val="auto"/>
          <w:sz w:val="32"/>
          <w:szCs w:val="32"/>
          <w:highlight w:val="none"/>
          <w:shd w:val="clear" w:color="auto" w:fill="auto"/>
          <w:lang w:val="en-US" w:eastAsia="zh-CN"/>
        </w:rPr>
      </w:pPr>
      <w:r>
        <w:rPr>
          <w:rFonts w:hint="eastAsia" w:ascii="宋体" w:hAnsi="宋体" w:eastAsia="宋体" w:cs="宋体"/>
          <w:color w:val="auto"/>
          <w:highlight w:val="none"/>
          <w:shd w:val="clear" w:color="auto" w:fill="auto"/>
        </w:rPr>
        <w:br w:type="page"/>
      </w:r>
      <w:bookmarkStart w:id="260" w:name="_Toc256000049"/>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66"/>
          <w:sz w:val="32"/>
          <w:szCs w:val="32"/>
          <w:highlight w:val="none"/>
          <w:shd w:val="clear" w:color="auto" w:fill="auto"/>
        </w:rPr>
        <w:t xml:space="preserve"> </w:t>
      </w:r>
      <w:r>
        <w:rPr>
          <w:rFonts w:hint="eastAsia" w:ascii="黑体" w:hAnsi="黑体" w:eastAsia="黑体" w:cs="黑体"/>
          <w:color w:val="auto"/>
          <w:spacing w:val="-66"/>
          <w:sz w:val="32"/>
          <w:szCs w:val="32"/>
          <w:highlight w:val="none"/>
          <w:shd w:val="clear" w:color="auto" w:fill="auto"/>
          <w:lang w:val="en-US" w:eastAsia="zh-CN"/>
        </w:rPr>
        <w:t>5</w:t>
      </w:r>
    </w:p>
    <w:p>
      <w:pPr>
        <w:keepNext w:val="0"/>
        <w:keepLines w:val="0"/>
        <w:pageBreakBefore w:val="0"/>
        <w:widowControl w:val="0"/>
        <w:kinsoku/>
        <w:wordWrap/>
        <w:overflowPunct/>
        <w:topLinePunct w:val="0"/>
        <w:autoSpaceDE/>
        <w:autoSpaceDN/>
        <w:bidi w:val="0"/>
        <w:adjustRightInd/>
        <w:snapToGrid/>
        <w:spacing w:before="104" w:line="187" w:lineRule="auto"/>
        <w:ind w:firstLine="4037"/>
        <w:textAlignment w:val="auto"/>
        <w:outlineLvl w:val="9"/>
        <w:rPr>
          <w:rFonts w:hint="eastAsia" w:ascii="方正小标宋简体" w:hAnsi="方正小标宋简体" w:eastAsia="方正小标宋简体" w:cs="方正小标宋简体"/>
          <w:color w:val="FF0000"/>
          <w:spacing w:val="-6"/>
          <w:sz w:val="44"/>
          <w:szCs w:val="44"/>
          <w:highlight w:val="none"/>
          <w:shd w:val="clear" w:color="auto" w:fill="auto"/>
        </w:rPr>
      </w:pPr>
      <w:r>
        <w:rPr>
          <w:rFonts w:hint="eastAsia" w:ascii="方正小标宋简体" w:hAnsi="方正小标宋简体" w:eastAsia="方正小标宋简体" w:cs="方正小标宋简体"/>
          <w:color w:val="auto"/>
          <w:spacing w:val="-6"/>
          <w:sz w:val="44"/>
          <w:szCs w:val="44"/>
          <w:highlight w:val="none"/>
          <w:shd w:val="clear" w:color="auto" w:fill="auto"/>
        </w:rPr>
        <w:t>开标一览表</w:t>
      </w:r>
      <w:bookmarkEnd w:id="260"/>
    </w:p>
    <w:p>
      <w:pPr>
        <w:pStyle w:val="42"/>
        <w:spacing w:before="0" w:after="227"/>
        <w:jc w:val="center"/>
        <w:rPr>
          <w:rFonts w:ascii="宋体" w:hAnsi="宋体" w:eastAsia="宋体" w:cs="宋体"/>
        </w:rPr>
      </w:pPr>
      <w:r>
        <w:rPr>
          <w:rFonts w:ascii="宋体" w:hAnsi="宋体" w:eastAsia="宋体" w:cs="宋体"/>
        </w:rPr>
        <w:t> </w:t>
      </w:r>
    </w:p>
    <w:p>
      <w:pPr>
        <w:pStyle w:val="10"/>
        <w:spacing w:line="360" w:lineRule="auto"/>
        <w:jc w:val="center"/>
        <w:rPr>
          <w:rFonts w:hint="eastAsia" w:ascii="宋体" w:hAnsi="宋体"/>
          <w:szCs w:val="21"/>
        </w:rPr>
      </w:pPr>
      <w:r>
        <w:rPr>
          <w:rFonts w:hint="eastAsia" w:ascii="宋体" w:hAnsi="宋体"/>
          <w:szCs w:val="21"/>
        </w:rPr>
        <w:t xml:space="preserve">               </w:t>
      </w:r>
    </w:p>
    <w:p>
      <w:pPr>
        <w:spacing w:line="360" w:lineRule="auto"/>
        <w:ind w:firstLine="480" w:firstLineChars="200"/>
        <w:rPr>
          <w:rFonts w:hint="eastAsia" w:ascii="宋体" w:hAnsi="宋体"/>
          <w:szCs w:val="21"/>
        </w:rPr>
      </w:pPr>
      <w:r>
        <w:rPr>
          <w:rFonts w:hint="eastAsia" w:ascii="宋体" w:hAnsi="宋体"/>
          <w:sz w:val="24"/>
          <w:szCs w:val="24"/>
        </w:rPr>
        <w:t>项目名称：2022年第一批广州市事业单位人员网上学习平台课程资源采购</w:t>
      </w:r>
      <w:r>
        <w:rPr>
          <w:rFonts w:hint="eastAsia" w:ascii="宋体" w:hAnsi="宋体"/>
          <w:sz w:val="24"/>
          <w:szCs w:val="24"/>
          <w:lang w:eastAsia="zh-CN"/>
        </w:rPr>
        <w:t>项目</w:t>
      </w:r>
      <w:r>
        <w:rPr>
          <w:rFonts w:hint="eastAsia"/>
          <w:b w:val="0"/>
          <w:bCs w:val="0"/>
          <w:sz w:val="24"/>
          <w:szCs w:val="24"/>
        </w:rPr>
        <w:t xml:space="preserve">  </w:t>
      </w:r>
      <w:r>
        <w:rPr>
          <w:rFonts w:hint="eastAsia"/>
          <w:sz w:val="24"/>
          <w:szCs w:val="24"/>
        </w:rPr>
        <w:t xml:space="preserve"> </w:t>
      </w:r>
      <w:r>
        <w:rPr>
          <w:rFonts w:hint="eastAsia"/>
          <w:szCs w:val="21"/>
        </w:rPr>
        <w:t xml:space="preserve">                                                     </w:t>
      </w:r>
    </w:p>
    <w:tbl>
      <w:tblPr>
        <w:tblStyle w:val="15"/>
        <w:tblW w:w="9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744"/>
        <w:gridCol w:w="3014"/>
        <w:gridCol w:w="1373"/>
        <w:gridCol w:w="2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93" w:hRule="atLeast"/>
          <w:jc w:val="center"/>
        </w:trPr>
        <w:tc>
          <w:tcPr>
            <w:tcW w:w="4758" w:type="dxa"/>
            <w:gridSpan w:val="2"/>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采购内容</w:t>
            </w:r>
          </w:p>
        </w:tc>
        <w:tc>
          <w:tcPr>
            <w:tcW w:w="1373"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数量</w:t>
            </w:r>
          </w:p>
        </w:tc>
        <w:tc>
          <w:tcPr>
            <w:tcW w:w="2888"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rP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893" w:hRule="atLeast"/>
          <w:jc w:val="center"/>
        </w:trPr>
        <w:tc>
          <w:tcPr>
            <w:tcW w:w="4758" w:type="dxa"/>
            <w:gridSpan w:val="2"/>
            <w:noWrap w:val="0"/>
            <w:vAlign w:val="center"/>
          </w:tcPr>
          <w:p>
            <w:pPr>
              <w:tabs>
                <w:tab w:val="right" w:leader="dot" w:pos="9628"/>
              </w:tabs>
              <w:autoSpaceDE w:val="0"/>
              <w:autoSpaceDN w:val="0"/>
              <w:adjustRightInd w:val="0"/>
              <w:spacing w:line="360" w:lineRule="auto"/>
              <w:jc w:val="center"/>
              <w:rPr>
                <w:rFonts w:hint="eastAsia" w:ascii="宋体" w:hAnsi="宋体"/>
                <w:szCs w:val="21"/>
                <w:highlight w:val="none"/>
                <w:lang w:val="zh-CN"/>
              </w:rPr>
            </w:pPr>
            <w:r>
              <w:rPr>
                <w:rFonts w:hint="eastAsia" w:ascii="宋体" w:hAnsi="宋体"/>
                <w:szCs w:val="21"/>
                <w:highlight w:val="none"/>
                <w:lang w:val="zh-CN"/>
              </w:rPr>
              <w:t>2022年第一批广州市事业单位人员网上学习平台</w:t>
            </w:r>
          </w:p>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highlight w:val="none"/>
                <w:lang w:val="zh-CN"/>
              </w:rPr>
              <w:t>课程资源</w:t>
            </w:r>
          </w:p>
        </w:tc>
        <w:tc>
          <w:tcPr>
            <w:tcW w:w="1373"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1项</w:t>
            </w:r>
          </w:p>
        </w:tc>
        <w:tc>
          <w:tcPr>
            <w:tcW w:w="2888" w:type="dxa"/>
            <w:noWrap w:val="0"/>
            <w:vAlign w:val="center"/>
          </w:tcPr>
          <w:p>
            <w:pPr>
              <w:spacing w:line="360" w:lineRule="auto"/>
              <w:ind w:firstLine="210" w:firstLineChars="100"/>
              <w:jc w:val="left"/>
              <w:rPr>
                <w:rFonts w:ascii="宋体" w:hAnsi="宋体" w:cs="宋体"/>
                <w:kern w:val="0"/>
                <w:szCs w:val="21"/>
              </w:rPr>
            </w:pPr>
            <w:r>
              <w:rPr>
                <w:rFonts w:hint="eastAsia" w:ascii="宋体" w:hAnsi="宋体" w:cs="宋体"/>
                <w:kern w:val="0"/>
                <w:szCs w:val="21"/>
              </w:rPr>
              <w:t>自合同签订之日起</w:t>
            </w:r>
            <w:r>
              <w:rPr>
                <w:rFonts w:hint="eastAsia" w:ascii="宋体" w:hAnsi="宋体" w:cs="宋体"/>
                <w:kern w:val="0"/>
                <w:szCs w:val="21"/>
                <w:highlight w:val="none"/>
              </w:rPr>
              <w:t>1</w:t>
            </w:r>
            <w:r>
              <w:rPr>
                <w:rFonts w:ascii="宋体" w:hAnsi="宋体" w:cs="宋体"/>
                <w:kern w:val="0"/>
                <w:szCs w:val="21"/>
                <w:highlight w:val="none"/>
              </w:rPr>
              <w:t>2</w:t>
            </w:r>
            <w:r>
              <w:rPr>
                <w:rFonts w:hint="eastAsia" w:ascii="宋体" w:hAnsi="宋体" w:cs="宋体"/>
                <w:kern w:val="0"/>
                <w:szCs w:val="21"/>
                <w:highlight w:val="none"/>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1145" w:hRule="atLeast"/>
          <w:jc w:val="center"/>
        </w:trPr>
        <w:tc>
          <w:tcPr>
            <w:tcW w:w="1744" w:type="dxa"/>
            <w:tcBorders>
              <w:bottom w:val="single" w:color="auto" w:sz="4" w:space="0"/>
              <w:right w:val="single" w:color="auto" w:sz="4" w:space="0"/>
            </w:tcBorders>
            <w:noWrap w:val="0"/>
            <w:vAlign w:val="center"/>
          </w:tcPr>
          <w:p>
            <w:pPr>
              <w:spacing w:line="360" w:lineRule="auto"/>
              <w:jc w:val="center"/>
              <w:rPr>
                <w:rFonts w:hint="eastAsia" w:ascii="宋体" w:hAnsi="宋体"/>
                <w:szCs w:val="21"/>
                <w:lang w:val="zh-CN"/>
              </w:rPr>
            </w:pPr>
            <w:r>
              <w:rPr>
                <w:rFonts w:hint="eastAsia" w:ascii="宋体" w:hAnsi="宋体"/>
                <w:szCs w:val="21"/>
                <w:lang w:val="zh-CN"/>
              </w:rPr>
              <w:t>投标总价</w:t>
            </w:r>
          </w:p>
        </w:tc>
        <w:tc>
          <w:tcPr>
            <w:tcW w:w="7275" w:type="dxa"/>
            <w:gridSpan w:val="3"/>
            <w:tcBorders>
              <w:left w:val="single" w:color="auto" w:sz="4" w:space="0"/>
              <w:bottom w:val="single" w:color="auto" w:sz="4" w:space="0"/>
            </w:tcBorders>
            <w:noWrap w:val="0"/>
            <w:vAlign w:val="center"/>
          </w:tcPr>
          <w:p>
            <w:pPr>
              <w:spacing w:line="360" w:lineRule="auto"/>
              <w:jc w:val="center"/>
              <w:rPr>
                <w:rFonts w:hint="eastAsia" w:ascii="宋体" w:hAnsi="宋体"/>
                <w:szCs w:val="21"/>
                <w:u w:val="single"/>
                <w:lang w:val="zh-CN"/>
              </w:rPr>
            </w:pPr>
            <w:r>
              <w:rPr>
                <w:rFonts w:hint="eastAsia" w:ascii="宋体" w:hAnsi="宋体"/>
                <w:szCs w:val="21"/>
                <w:lang w:val="zh-CN"/>
              </w:rPr>
              <w:t>小写：</w:t>
            </w:r>
            <w:r>
              <w:rPr>
                <w:rFonts w:hint="eastAsia" w:ascii="宋体" w:hAnsi="宋体"/>
                <w:szCs w:val="21"/>
                <w:u w:val="single"/>
                <w:lang w:val="zh-CN"/>
              </w:rPr>
              <w:t xml:space="preserve">￥         </w:t>
            </w:r>
            <w:r>
              <w:rPr>
                <w:rFonts w:hint="eastAsia" w:ascii="宋体" w:hAnsi="宋体"/>
                <w:szCs w:val="21"/>
                <w:lang w:val="zh-CN"/>
              </w:rPr>
              <w:t>；大写：</w:t>
            </w:r>
            <w:r>
              <w:rPr>
                <w:rFonts w:hint="eastAsia" w:ascii="宋体" w:hAnsi="宋体"/>
                <w:szCs w:val="21"/>
                <w:u w:val="single"/>
                <w:lang w:val="zh-CN"/>
              </w:rPr>
              <w:t xml:space="preserve">             </w:t>
            </w:r>
            <w:r>
              <w:rPr>
                <w:rFonts w:hint="eastAsia" w:ascii="宋体" w:hAnsi="宋体"/>
                <w:szCs w:val="21"/>
                <w:lang w:val="zh-CN"/>
              </w:rPr>
              <w:t>。</w:t>
            </w:r>
          </w:p>
        </w:tc>
      </w:tr>
    </w:tbl>
    <w:p>
      <w:pPr>
        <w:spacing w:line="360" w:lineRule="auto"/>
        <w:ind w:left="720" w:hanging="720"/>
        <w:rPr>
          <w:rFonts w:hint="eastAsia" w:ascii="宋体" w:hAnsi="宋体"/>
        </w:rPr>
      </w:pPr>
    </w:p>
    <w:p>
      <w:pPr>
        <w:numPr>
          <w:ilvl w:val="0"/>
          <w:numId w:val="0"/>
        </w:numPr>
        <w:spacing w:line="360" w:lineRule="auto"/>
        <w:ind w:left="434" w:leftChars="0"/>
        <w:rPr>
          <w:rFonts w:hint="eastAsia" w:ascii="宋体" w:hAnsi="宋体"/>
        </w:rPr>
      </w:pPr>
    </w:p>
    <w:p>
      <w:pPr>
        <w:spacing w:line="360" w:lineRule="auto"/>
        <w:ind w:firstLine="120" w:firstLineChars="50"/>
        <w:rPr>
          <w:rFonts w:hint="eastAsia" w:ascii="宋体" w:hAnsi="宋体"/>
          <w:b/>
          <w:bCs/>
          <w:sz w:val="24"/>
          <w:szCs w:val="24"/>
        </w:rPr>
      </w:pPr>
    </w:p>
    <w:p>
      <w:pPr>
        <w:spacing w:line="360" w:lineRule="auto"/>
        <w:ind w:firstLine="120" w:firstLineChars="50"/>
        <w:rPr>
          <w:rFonts w:hint="eastAsia" w:ascii="宋体" w:hAnsi="宋体"/>
          <w:sz w:val="24"/>
          <w:szCs w:val="24"/>
          <w:u w:val="single"/>
        </w:rPr>
      </w:pPr>
      <w:r>
        <w:rPr>
          <w:rFonts w:hint="eastAsia" w:ascii="宋体" w:hAnsi="宋体"/>
          <w:b/>
          <w:bCs/>
          <w:sz w:val="24"/>
          <w:szCs w:val="24"/>
        </w:rPr>
        <w:t xml:space="preserve">  </w:t>
      </w:r>
      <w:r>
        <w:rPr>
          <w:rFonts w:hint="eastAsia" w:ascii="宋体" w:hAnsi="宋体"/>
          <w:sz w:val="24"/>
          <w:szCs w:val="24"/>
        </w:rPr>
        <w:t xml:space="preserve">                                            投标人名称（盖公章）：</w:t>
      </w:r>
      <w:r>
        <w:rPr>
          <w:rFonts w:hint="eastAsia" w:ascii="宋体" w:hAnsi="宋体"/>
          <w:sz w:val="24"/>
          <w:szCs w:val="24"/>
          <w:u w:val="single"/>
        </w:rPr>
        <w:t xml:space="preserve">                    </w:t>
      </w:r>
    </w:p>
    <w:p>
      <w:pPr>
        <w:spacing w:line="360" w:lineRule="auto"/>
        <w:ind w:firstLine="5640" w:firstLineChars="2350"/>
        <w:rPr>
          <w:rFonts w:hint="eastAsia" w:ascii="宋体" w:hAnsi="宋体"/>
          <w:sz w:val="24"/>
          <w:szCs w:val="24"/>
          <w:u w:val="single"/>
        </w:rPr>
      </w:pPr>
      <w:r>
        <w:rPr>
          <w:rFonts w:hint="eastAsia" w:ascii="宋体" w:hAnsi="宋体"/>
          <w:sz w:val="24"/>
          <w:szCs w:val="24"/>
        </w:rPr>
        <w:t>投标人授权代表（签字或盖章）：</w:t>
      </w:r>
      <w:r>
        <w:rPr>
          <w:rFonts w:hint="eastAsia" w:ascii="宋体" w:hAnsi="宋体"/>
          <w:sz w:val="24"/>
          <w:szCs w:val="24"/>
          <w:u w:val="single"/>
        </w:rPr>
        <w:t xml:space="preserve">            </w:t>
      </w:r>
    </w:p>
    <w:p>
      <w:pPr>
        <w:spacing w:line="360" w:lineRule="auto"/>
        <w:ind w:firstLine="5640" w:firstLineChars="235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42"/>
        <w:spacing w:before="0" w:after="227"/>
        <w:jc w:val="center"/>
        <w:rPr>
          <w:rStyle w:val="43"/>
          <w:rFonts w:ascii="宋体" w:hAnsi="宋体" w:eastAsia="宋体" w:cs="宋体"/>
          <w:sz w:val="24"/>
          <w:szCs w:val="24"/>
        </w:rPr>
      </w:pPr>
    </w:p>
    <w:p>
      <w:pPr>
        <w:pStyle w:val="42"/>
        <w:spacing w:before="0" w:after="227"/>
        <w:jc w:val="center"/>
        <w:rPr>
          <w:rStyle w:val="43"/>
          <w:rFonts w:ascii="宋体" w:hAnsi="宋体" w:eastAsia="宋体" w:cs="宋体"/>
          <w:sz w:val="24"/>
          <w:szCs w:val="24"/>
        </w:rPr>
      </w:pPr>
    </w:p>
    <w:p>
      <w:pPr>
        <w:pStyle w:val="42"/>
        <w:spacing w:before="0" w:after="227"/>
        <w:jc w:val="center"/>
        <w:rPr>
          <w:rFonts w:ascii="宋体" w:hAnsi="宋体" w:eastAsia="宋体" w:cs="宋体"/>
          <w:sz w:val="24"/>
          <w:szCs w:val="24"/>
        </w:rPr>
      </w:pPr>
      <w:r>
        <w:rPr>
          <w:rStyle w:val="43"/>
          <w:rFonts w:ascii="宋体" w:hAnsi="宋体" w:eastAsia="宋体" w:cs="宋体"/>
          <w:sz w:val="24"/>
          <w:szCs w:val="24"/>
        </w:rPr>
        <w:t xml:space="preserve"> </w:t>
      </w:r>
    </w:p>
    <w:p>
      <w:pPr>
        <w:pStyle w:val="42"/>
        <w:spacing w:before="0" w:after="227"/>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填报要求：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1.投标人须按要求填写所有信息，不得随意更改本表格式。</w:t>
      </w:r>
    </w:p>
    <w:p>
      <w:pPr>
        <w:pStyle w:val="4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Calibri" w:hAnsi="Calibri" w:eastAsia="宋体" w:cs="Times New Roman"/>
          <w:color w:val="auto"/>
          <w:kern w:val="2"/>
          <w:sz w:val="24"/>
          <w:szCs w:val="24"/>
          <w:lang w:val="en-US" w:eastAsia="zh-CN" w:bidi="ar-SA"/>
        </w:rPr>
      </w:pPr>
      <w:r>
        <w:rPr>
          <w:rFonts w:hint="eastAsia" w:ascii="Calibri" w:hAnsi="Calibri" w:eastAsia="宋体" w:cs="Times New Roman"/>
          <w:color w:val="auto"/>
          <w:kern w:val="2"/>
          <w:sz w:val="24"/>
          <w:szCs w:val="24"/>
          <w:lang w:val="en-US" w:eastAsia="zh-CN" w:bidi="ar-SA"/>
        </w:rPr>
        <w:t>2.如投标人报价低于最高限价60%的，必须在《实质性响应条款一览表》内说明报价理由。</w:t>
      </w:r>
    </w:p>
    <w:p>
      <w:pPr>
        <w:pStyle w:val="4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3.投标报价以人民币进行报价。</w:t>
      </w:r>
    </w:p>
    <w:p>
      <w:pPr>
        <w:pStyle w:val="2"/>
        <w:rPr>
          <w:rFonts w:hint="eastAsia"/>
          <w:sz w:val="24"/>
          <w:szCs w:val="24"/>
        </w:rPr>
        <w:sectPr>
          <w:headerReference r:id="rId7" w:type="default"/>
          <w:footerReference r:id="rId8" w:type="default"/>
          <w:pgSz w:w="11906" w:h="16839"/>
          <w:pgMar w:top="1047" w:right="1020" w:bottom="1000" w:left="1020" w:header="763" w:footer="762" w:gutter="0"/>
          <w:pgNumType w:fmt="decimal"/>
          <w:cols w:space="720" w:num="1"/>
        </w:sectPr>
      </w:pPr>
    </w:p>
    <w:p>
      <w:pPr>
        <w:spacing w:before="64" w:line="187" w:lineRule="auto"/>
        <w:ind w:firstLine="124"/>
        <w:rPr>
          <w:rFonts w:hint="eastAsia" w:ascii="Arial" w:hAnsi="Arial" w:eastAsia="黑体" w:cs="Arial"/>
          <w:color w:val="auto"/>
          <w:sz w:val="32"/>
          <w:szCs w:val="32"/>
          <w:highlight w:val="none"/>
          <w:shd w:val="clear" w:color="auto" w:fill="auto"/>
          <w:lang w:val="en-US" w:eastAsia="zh-CN"/>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格式</w:t>
      </w:r>
      <w:r>
        <w:rPr>
          <w:rFonts w:hint="eastAsia" w:ascii="黑体" w:hAnsi="黑体" w:eastAsia="黑体" w:cs="黑体"/>
          <w:color w:val="auto"/>
          <w:spacing w:val="-4"/>
          <w:sz w:val="32"/>
          <w:szCs w:val="32"/>
          <w:highlight w:val="none"/>
          <w:shd w:val="clear" w:color="auto" w:fill="auto"/>
          <w:lang w:val="en-US" w:eastAsia="zh-CN"/>
          <w14:textOutline w14:w="5793" w14:cap="sq" w14:cmpd="sng">
            <w14:solidFill>
              <w14:srgbClr w14:val="000000"/>
            </w14:solidFill>
            <w14:prstDash w14:val="solid"/>
            <w14:bevel/>
          </w14:textOutline>
        </w:rPr>
        <w:t>6</w:t>
      </w:r>
    </w:p>
    <w:p>
      <w:pPr>
        <w:spacing w:line="464" w:lineRule="auto"/>
        <w:rPr>
          <w:rFonts w:ascii="Arial"/>
          <w:color w:val="auto"/>
          <w:sz w:val="21"/>
          <w:highlight w:val="none"/>
          <w:shd w:val="clear" w:color="auto" w:fill="auto"/>
        </w:rPr>
      </w:pPr>
    </w:p>
    <w:p>
      <w:pPr>
        <w:pStyle w:val="37"/>
        <w:jc w:val="center"/>
        <w:rPr>
          <w:rFonts w:hint="eastAsia" w:ascii="方正小标宋简体" w:hAnsi="方正小标宋简体" w:eastAsia="方正小标宋简体" w:cs="方正小标宋简体"/>
          <w:b w:val="0"/>
          <w:bCs/>
          <w:color w:val="FF0000"/>
          <w:sz w:val="44"/>
          <w:szCs w:val="44"/>
          <w:highlight w:val="none"/>
        </w:rPr>
      </w:pPr>
      <w:r>
        <w:rPr>
          <w:rFonts w:hint="eastAsia" w:ascii="方正小标宋简体" w:hAnsi="方正小标宋简体" w:eastAsia="方正小标宋简体" w:cs="方正小标宋简体"/>
          <w:b w:val="0"/>
          <w:bCs/>
          <w:color w:val="auto"/>
          <w:sz w:val="44"/>
          <w:szCs w:val="44"/>
          <w:highlight w:val="none"/>
        </w:rPr>
        <w:t>实质性响应条款一览表</w:t>
      </w:r>
    </w:p>
    <w:p>
      <w:pPr>
        <w:pStyle w:val="37"/>
        <w:jc w:val="center"/>
        <w:rPr>
          <w:rFonts w:hint="eastAsia" w:ascii="宋体" w:hAnsi="宋体"/>
          <w:b/>
          <w:color w:val="auto"/>
          <w:sz w:val="28"/>
          <w:szCs w:val="28"/>
          <w:highlight w:val="none"/>
        </w:rPr>
      </w:pPr>
    </w:p>
    <w:tbl>
      <w:tblPr>
        <w:tblStyle w:val="1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71"/>
        <w:gridCol w:w="268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实质性响应条款</w:t>
            </w: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投标人响应情况</w:t>
            </w: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jc w:val="center"/>
              <w:rPr>
                <w:rFonts w:ascii="宋体" w:hAnsi="宋体"/>
                <w:color w:val="auto"/>
                <w:sz w:val="24"/>
                <w:highlight w:val="none"/>
              </w:rPr>
            </w:pPr>
          </w:p>
        </w:tc>
        <w:tc>
          <w:tcPr>
            <w:tcW w:w="3271"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top"/>
          </w:tcPr>
          <w:p>
            <w:pPr>
              <w:pStyle w:val="37"/>
              <w:spacing w:line="360" w:lineRule="auto"/>
              <w:rPr>
                <w:rFonts w:ascii="宋体" w:hAnsi="宋体"/>
                <w:color w:val="auto"/>
                <w:sz w:val="24"/>
                <w:highlight w:val="none"/>
              </w:rPr>
            </w:pPr>
          </w:p>
        </w:tc>
      </w:tr>
    </w:tbl>
    <w:p>
      <w:pPr>
        <w:pStyle w:val="37"/>
        <w:spacing w:line="360" w:lineRule="auto"/>
        <w:ind w:left="-1" w:leftChars="-1" w:hanging="1"/>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rPr>
        <w:t>说明： 1、“带“★”号响应内容”投标人必须对应招标文件的 “★”号条款逐条应答并按要求填写下表。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rPr>
        <w:t>2、对完全响应的条目在上表相应列中标注“○” 。对有偏离的条目在下表相应列中标注“×”， 并简述偏离内容。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9"/>
          <w:sz w:val="21"/>
          <w:szCs w:val="21"/>
          <w:highlight w:val="none"/>
          <w:shd w:val="clear" w:color="auto" w:fill="auto"/>
        </w:rPr>
      </w:pPr>
      <w:r>
        <w:rPr>
          <w:rFonts w:hint="eastAsia" w:ascii="宋体" w:hAnsi="宋体"/>
          <w:color w:val="auto"/>
          <w:sz w:val="24"/>
          <w:highlight w:val="none"/>
        </w:rPr>
        <w:t>3、本表“</w:t>
      </w:r>
      <w:r>
        <w:rPr>
          <w:rFonts w:hint="eastAsia" w:ascii="宋体" w:hAnsi="宋体"/>
          <w:color w:val="auto"/>
          <w:sz w:val="24"/>
          <w:highlight w:val="none"/>
          <w:lang w:val="en-US" w:eastAsia="zh-CN"/>
        </w:rPr>
        <w:t>投标人响应情况</w:t>
      </w:r>
      <w:r>
        <w:rPr>
          <w:rFonts w:hint="eastAsia" w:ascii="宋体" w:hAnsi="宋体"/>
          <w:color w:val="auto"/>
          <w:sz w:val="24"/>
          <w:highlight w:val="none"/>
        </w:rPr>
        <w:t>” 、 “偏离说明” 不填写内容的视为完全响应。</w:t>
      </w:r>
      <w:r>
        <w:rPr>
          <w:rFonts w:hint="eastAsia" w:ascii="宋体" w:hAnsi="宋体" w:eastAsia="宋体" w:cs="宋体"/>
          <w:color w:val="auto"/>
          <w:spacing w:val="-9"/>
          <w:sz w:val="21"/>
          <w:szCs w:val="21"/>
          <w:highlight w:val="none"/>
          <w:shd w:val="clear" w:color="auto" w:fill="auto"/>
        </w:rPr>
        <w:br w:type="page"/>
      </w:r>
    </w:p>
    <w:p>
      <w:pPr>
        <w:spacing w:before="104" w:line="187" w:lineRule="auto"/>
        <w:outlineLvl w:val="1"/>
        <w:rPr>
          <w:rFonts w:ascii="黑体" w:hAnsi="黑体" w:eastAsia="黑体" w:cs="黑体"/>
          <w:color w:val="auto"/>
          <w:spacing w:val="1"/>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42"/>
          <w:sz w:val="32"/>
          <w:szCs w:val="32"/>
          <w:highlight w:val="none"/>
          <w:shd w:val="clear" w:color="auto" w:fill="auto"/>
        </w:rPr>
        <w:t xml:space="preserve"> </w:t>
      </w:r>
      <w:r>
        <w:rPr>
          <w:rFonts w:hint="eastAsia" w:ascii="黑体" w:hAnsi="黑体" w:eastAsia="黑体" w:cs="黑体"/>
          <w:color w:val="auto"/>
          <w:spacing w:val="-42"/>
          <w:sz w:val="32"/>
          <w:szCs w:val="32"/>
          <w:highlight w:val="none"/>
          <w:shd w:val="clear" w:color="auto" w:fill="auto"/>
          <w:lang w:val="en-US" w:eastAsia="zh-CN"/>
        </w:rPr>
        <w:t>7</w:t>
      </w:r>
      <w:r>
        <w:rPr>
          <w:rFonts w:ascii="黑体" w:hAnsi="黑体" w:eastAsia="黑体" w:cs="黑体"/>
          <w:color w:val="auto"/>
          <w:spacing w:val="1"/>
          <w:sz w:val="32"/>
          <w:szCs w:val="32"/>
          <w:highlight w:val="none"/>
          <w:shd w:val="clear" w:color="auto" w:fill="auto"/>
        </w:rPr>
        <w:t xml:space="preserve">           </w:t>
      </w:r>
    </w:p>
    <w:p>
      <w:pPr>
        <w:spacing w:before="104" w:line="187" w:lineRule="auto"/>
        <w:jc w:val="center"/>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pacing w:val="-4"/>
          <w:sz w:val="44"/>
          <w:szCs w:val="44"/>
          <w:highlight w:val="none"/>
          <w:shd w:val="clear" w:color="auto" w:fill="auto"/>
          <w14:textOutline w14:w="5793" w14:cap="sq" w14:cmpd="sng">
            <w14:solidFill>
              <w14:srgbClr w14:val="000000"/>
            </w14:solidFill>
            <w14:prstDash w14:val="solid"/>
            <w14:bevel/>
          </w14:textOutline>
        </w:rPr>
        <w:t>商务</w:t>
      </w:r>
      <w:r>
        <w:rPr>
          <w:rFonts w:hint="eastAsia" w:ascii="方正小标宋简体" w:hAnsi="方正小标宋简体" w:eastAsia="方正小标宋简体" w:cs="方正小标宋简体"/>
          <w:b w:val="0"/>
          <w:bCs w:val="0"/>
          <w:color w:val="auto"/>
          <w:spacing w:val="-4"/>
          <w:sz w:val="44"/>
          <w:szCs w:val="44"/>
          <w:highlight w:val="none"/>
          <w:shd w:val="clear" w:color="auto" w:fill="auto"/>
          <w:lang w:val="en-US" w:eastAsia="zh-CN"/>
          <w14:textOutline w14:w="5793" w14:cap="sq" w14:cmpd="sng">
            <w14:solidFill>
              <w14:srgbClr w14:val="000000"/>
            </w14:solidFill>
            <w14:prstDash w14:val="solid"/>
            <w14:bevel/>
          </w14:textOutline>
        </w:rPr>
        <w:t>技术</w:t>
      </w:r>
      <w:r>
        <w:rPr>
          <w:rFonts w:hint="eastAsia" w:ascii="方正小标宋简体" w:hAnsi="方正小标宋简体" w:eastAsia="方正小标宋简体" w:cs="方正小标宋简体"/>
          <w:b w:val="0"/>
          <w:bCs w:val="0"/>
          <w:color w:val="auto"/>
          <w:spacing w:val="-4"/>
          <w:sz w:val="44"/>
          <w:szCs w:val="44"/>
          <w:highlight w:val="none"/>
          <w:shd w:val="clear" w:color="auto" w:fill="auto"/>
          <w14:textOutline w14:w="5793" w14:cap="sq" w14:cmpd="sng">
            <w14:solidFill>
              <w14:srgbClr w14:val="000000"/>
            </w14:solidFill>
            <w14:prstDash w14:val="solid"/>
            <w14:bevel/>
          </w14:textOutline>
        </w:rPr>
        <w:t>响应表</w:t>
      </w:r>
    </w:p>
    <w:p>
      <w:pPr>
        <w:spacing w:line="422"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pPr>
      <w:r>
        <w:rPr>
          <w:rFonts w:ascii="Times New Roman" w:hAnsi="Times New Roman" w:eastAsia="Times New Roman" w:cs="Times New Roman"/>
          <w:b/>
          <w:bCs/>
          <w:color w:val="auto"/>
          <w:spacing w:val="-2"/>
          <w:sz w:val="24"/>
          <w:szCs w:val="24"/>
          <w:highlight w:val="none"/>
          <w:shd w:val="clear" w:color="auto" w:fill="auto"/>
        </w:rPr>
        <w:t>[</w:t>
      </w:r>
      <w:r>
        <w:rPr>
          <w:rFonts w:ascii="宋体" w:hAnsi="宋体" w:eastAsia="宋体" w:cs="宋体"/>
          <w:color w:val="auto"/>
          <w:spacing w:val="-2"/>
          <w:sz w:val="24"/>
          <w:szCs w:val="24"/>
          <w:highlight w:val="none"/>
          <w:shd w:val="clear" w:color="auto" w:fill="auto"/>
          <w14:textOutline w14:w="3795" w14:cap="sq" w14:cmpd="sng">
            <w14:solidFill>
              <w14:srgbClr w14:val="000000"/>
            </w14:solidFill>
            <w14:prstDash w14:val="solid"/>
            <w14:bevel/>
          </w14:textOutline>
        </w:rPr>
        <w:t>说明</w:t>
      </w:r>
      <w:r>
        <w:rPr>
          <w:rFonts w:ascii="Times New Roman" w:hAnsi="Times New Roman" w:eastAsia="Times New Roman" w:cs="Times New Roman"/>
          <w:b/>
          <w:bCs/>
          <w:color w:val="auto"/>
          <w:spacing w:val="-2"/>
          <w:sz w:val="24"/>
          <w:szCs w:val="24"/>
          <w:highlight w:val="none"/>
          <w:shd w:val="clear" w:color="auto" w:fill="auto"/>
        </w:rPr>
        <w:t>]</w:t>
      </w:r>
      <w:r>
        <w:rPr>
          <w:rFonts w:ascii="宋体" w:hAnsi="宋体" w:eastAsia="宋体" w:cs="宋体"/>
          <w:color w:val="auto"/>
          <w:spacing w:val="-2"/>
          <w:sz w:val="24"/>
          <w:szCs w:val="24"/>
          <w:highlight w:val="none"/>
          <w:shd w:val="clear" w:color="auto" w:fill="auto"/>
        </w:rPr>
        <w:t>投标人逐条对照招标文件“采购人需求”的商务要求</w:t>
      </w:r>
      <w:r>
        <w:rPr>
          <w:rFonts w:hint="eastAsia" w:ascii="宋体" w:hAnsi="宋体" w:cs="宋体"/>
          <w:color w:val="auto"/>
          <w:spacing w:val="-2"/>
          <w:sz w:val="24"/>
          <w:szCs w:val="24"/>
          <w:highlight w:val="none"/>
          <w:shd w:val="clear" w:color="auto" w:fill="auto"/>
          <w:lang w:eastAsia="zh-CN"/>
        </w:rPr>
        <w:t>、</w:t>
      </w:r>
      <w:r>
        <w:rPr>
          <w:rFonts w:hint="eastAsia" w:ascii="宋体" w:hAnsi="宋体" w:cs="宋体"/>
          <w:color w:val="auto"/>
          <w:spacing w:val="-2"/>
          <w:sz w:val="24"/>
          <w:szCs w:val="24"/>
          <w:highlight w:val="none"/>
          <w:shd w:val="clear" w:color="auto" w:fill="auto"/>
          <w:lang w:val="en-US" w:eastAsia="zh-CN"/>
        </w:rPr>
        <w:t>技术要求</w:t>
      </w:r>
      <w:r>
        <w:rPr>
          <w:rFonts w:ascii="宋体" w:hAnsi="宋体" w:eastAsia="宋体" w:cs="宋体"/>
          <w:color w:val="auto"/>
          <w:spacing w:val="-2"/>
          <w:sz w:val="24"/>
          <w:szCs w:val="24"/>
          <w:highlight w:val="none"/>
          <w:shd w:val="clear" w:color="auto" w:fill="auto"/>
        </w:rPr>
        <w:t>填写，有差异的须在此表中列明两者的差异内</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容，以便查对和评审。</w:t>
      </w:r>
      <w:r>
        <w:rPr>
          <w:rFonts w:ascii="宋体" w:hAnsi="宋体" w:eastAsia="宋体" w:cs="宋体"/>
          <w:color w:val="auto"/>
          <w:sz w:val="24"/>
          <w:szCs w:val="24"/>
          <w:highlight w:val="none"/>
          <w:shd w:val="clear" w:color="auto" w:fill="auto"/>
          <w14:textOutline w14:w="3795" w14:cap="sq" w14:cmpd="sng">
            <w14:solidFill>
              <w14:srgbClr w14:val="000000"/>
            </w14:solidFill>
            <w14:prstDash w14:val="solid"/>
            <w14:bevel/>
          </w14:textOutline>
        </w:rPr>
        <w:t>投标人没有列出的内容或提交空表的，评标委员会可视为完全响应招标文件</w:t>
      </w:r>
      <w:r>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t>要求。</w:t>
      </w:r>
    </w:p>
    <w:p>
      <w:pPr>
        <w:pStyle w:val="2"/>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pPr>
    </w:p>
    <w:p>
      <w:pPr>
        <w:pStyle w:val="2"/>
        <w:rPr>
          <w:rFonts w:ascii="宋体" w:hAnsi="宋体" w:eastAsia="宋体" w:cs="宋体"/>
          <w:b w:val="0"/>
          <w:bCs w:val="0"/>
          <w:color w:val="auto"/>
          <w:spacing w:val="-3"/>
          <w:sz w:val="24"/>
          <w:szCs w:val="24"/>
          <w:highlight w:val="none"/>
          <w:shd w:val="clear" w:color="auto" w:fill="auto"/>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3"/>
          <w:sz w:val="24"/>
          <w:szCs w:val="24"/>
          <w:highlight w:val="none"/>
          <w:shd w:val="clear" w:color="auto" w:fill="auto"/>
          <w14:textOutline w14:w="3795" w14:cap="sq" w14:cmpd="sng">
            <w14:solidFill>
              <w14:srgbClr w14:val="000000"/>
            </w14:solidFill>
            <w14:prstDash w14:val="solid"/>
            <w14:bevel/>
          </w14:textOutline>
        </w:rPr>
        <w:t xml:space="preserve">项目名称：                      </w:t>
      </w:r>
    </w:p>
    <w:p>
      <w:pPr>
        <w:spacing w:line="131" w:lineRule="exact"/>
        <w:rPr>
          <w:color w:val="auto"/>
          <w:sz w:val="24"/>
          <w:szCs w:val="24"/>
          <w:highlight w:val="none"/>
          <w:shd w:val="clear" w:color="auto" w:fill="auto"/>
        </w:rPr>
      </w:pPr>
    </w:p>
    <w:tbl>
      <w:tblPr>
        <w:tblStyle w:val="21"/>
        <w:tblW w:w="8356"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783"/>
        <w:gridCol w:w="3137"/>
        <w:gridCol w:w="1620"/>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406" w:type="dxa"/>
            <w:vMerge w:val="restart"/>
            <w:tcBorders>
              <w:bottom w:val="nil"/>
            </w:tcBorders>
            <w:vAlign w:val="top"/>
          </w:tcPr>
          <w:p>
            <w:pPr>
              <w:spacing w:line="376" w:lineRule="auto"/>
              <w:rPr>
                <w:rFonts w:ascii="Arial"/>
                <w:color w:val="auto"/>
                <w:sz w:val="24"/>
                <w:szCs w:val="24"/>
                <w:highlight w:val="none"/>
                <w:shd w:val="clear" w:color="auto" w:fill="auto"/>
              </w:rPr>
            </w:pPr>
          </w:p>
          <w:p>
            <w:pPr>
              <w:spacing w:before="68" w:line="184" w:lineRule="auto"/>
              <w:ind w:firstLine="494"/>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序号</w:t>
            </w:r>
          </w:p>
        </w:tc>
        <w:tc>
          <w:tcPr>
            <w:tcW w:w="3920" w:type="dxa"/>
            <w:gridSpan w:val="2"/>
            <w:vAlign w:val="top"/>
          </w:tcPr>
          <w:p>
            <w:pPr>
              <w:spacing w:before="165" w:line="184" w:lineRule="auto"/>
              <w:ind w:firstLine="1641"/>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招标文件要求</w:t>
            </w:r>
          </w:p>
        </w:tc>
        <w:tc>
          <w:tcPr>
            <w:tcW w:w="3030" w:type="dxa"/>
            <w:gridSpan w:val="2"/>
            <w:vAlign w:val="top"/>
          </w:tcPr>
          <w:p>
            <w:pPr>
              <w:spacing w:before="165" w:line="184" w:lineRule="auto"/>
              <w:ind w:firstLine="1113"/>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投标文件内容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06" w:type="dxa"/>
            <w:vMerge w:val="continue"/>
            <w:tcBorders>
              <w:top w:val="nil"/>
            </w:tcBorders>
            <w:vAlign w:val="top"/>
          </w:tcPr>
          <w:p>
            <w:pPr>
              <w:rPr>
                <w:rFonts w:ascii="Arial"/>
                <w:color w:val="auto"/>
                <w:sz w:val="24"/>
                <w:szCs w:val="24"/>
                <w:highlight w:val="none"/>
                <w:shd w:val="clear" w:color="auto" w:fill="auto"/>
              </w:rPr>
            </w:pPr>
          </w:p>
        </w:tc>
        <w:tc>
          <w:tcPr>
            <w:tcW w:w="783" w:type="dxa"/>
            <w:vAlign w:val="top"/>
          </w:tcPr>
          <w:p>
            <w:pPr>
              <w:spacing w:before="170" w:line="184" w:lineRule="auto"/>
              <w:ind w:firstLine="34"/>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原条目</w:t>
            </w:r>
          </w:p>
        </w:tc>
        <w:tc>
          <w:tcPr>
            <w:tcW w:w="3137" w:type="dxa"/>
            <w:vAlign w:val="top"/>
          </w:tcPr>
          <w:p>
            <w:pPr>
              <w:spacing w:before="170" w:line="184" w:lineRule="auto"/>
              <w:ind w:firstLine="1463"/>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简要内容</w:t>
            </w:r>
          </w:p>
        </w:tc>
        <w:tc>
          <w:tcPr>
            <w:tcW w:w="1620" w:type="dxa"/>
            <w:vAlign w:val="top"/>
          </w:tcPr>
          <w:p>
            <w:pPr>
              <w:spacing w:before="170" w:line="184" w:lineRule="auto"/>
              <w:ind w:firstLine="454"/>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是否响应</w:t>
            </w:r>
          </w:p>
        </w:tc>
        <w:tc>
          <w:tcPr>
            <w:tcW w:w="1410" w:type="dxa"/>
            <w:vAlign w:val="top"/>
          </w:tcPr>
          <w:p>
            <w:pPr>
              <w:spacing w:before="170" w:line="184" w:lineRule="auto"/>
              <w:ind w:firstLine="454"/>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406" w:type="dxa"/>
            <w:vAlign w:val="top"/>
          </w:tcPr>
          <w:p>
            <w:pPr>
              <w:spacing w:before="184" w:line="180" w:lineRule="auto"/>
              <w:ind w:firstLine="667"/>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1</w:t>
            </w:r>
          </w:p>
        </w:tc>
        <w:tc>
          <w:tcPr>
            <w:tcW w:w="783" w:type="dxa"/>
            <w:vAlign w:val="top"/>
          </w:tcPr>
          <w:p>
            <w:pPr>
              <w:spacing w:before="226" w:line="187" w:lineRule="auto"/>
              <w:ind w:firstLine="290"/>
              <w:rPr>
                <w:rFonts w:ascii="宋体" w:hAnsi="宋体" w:eastAsia="宋体" w:cs="宋体"/>
                <w:color w:val="auto"/>
                <w:sz w:val="24"/>
                <w:szCs w:val="24"/>
                <w:highlight w:val="none"/>
                <w:shd w:val="clear" w:color="auto" w:fill="auto"/>
              </w:rPr>
            </w:pPr>
            <w:r>
              <w:rPr>
                <w:rFonts w:ascii="宋体" w:hAnsi="宋体" w:eastAsia="宋体" w:cs="宋体"/>
                <w:color w:val="auto"/>
                <w:spacing w:val="30"/>
                <w:w w:val="167"/>
                <w:sz w:val="24"/>
                <w:szCs w:val="24"/>
                <w:highlight w:val="none"/>
                <w:shd w:val="clear" w:color="auto" w:fill="auto"/>
              </w:rPr>
              <w:t>一</w:t>
            </w:r>
          </w:p>
        </w:tc>
        <w:tc>
          <w:tcPr>
            <w:tcW w:w="3137" w:type="dxa"/>
            <w:vAlign w:val="top"/>
          </w:tcPr>
          <w:p>
            <w:pPr>
              <w:rPr>
                <w:rFonts w:ascii="Arial"/>
                <w:color w:val="auto"/>
                <w:sz w:val="24"/>
                <w:szCs w:val="24"/>
                <w:highlight w:val="none"/>
                <w:shd w:val="clear" w:color="auto" w:fill="auto"/>
              </w:rPr>
            </w:pPr>
          </w:p>
        </w:tc>
        <w:tc>
          <w:tcPr>
            <w:tcW w:w="1620" w:type="dxa"/>
            <w:vAlign w:val="top"/>
          </w:tcPr>
          <w:p>
            <w:pPr>
              <w:rPr>
                <w:rFonts w:ascii="Arial"/>
                <w:color w:val="auto"/>
                <w:sz w:val="24"/>
                <w:szCs w:val="24"/>
                <w:highlight w:val="none"/>
                <w:shd w:val="clear" w:color="auto" w:fill="auto"/>
              </w:rPr>
            </w:pPr>
          </w:p>
        </w:tc>
        <w:tc>
          <w:tcPr>
            <w:tcW w:w="1410" w:type="dxa"/>
            <w:vAlign w:val="top"/>
          </w:tcPr>
          <w:p>
            <w:pPr>
              <w:rPr>
                <w:rFonts w:ascii="Arial"/>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06" w:type="dxa"/>
            <w:vAlign w:val="top"/>
          </w:tcPr>
          <w:p>
            <w:pPr>
              <w:spacing w:line="249" w:lineRule="auto"/>
              <w:rPr>
                <w:rFonts w:ascii="Arial"/>
                <w:color w:val="auto"/>
                <w:sz w:val="24"/>
                <w:szCs w:val="24"/>
                <w:highlight w:val="none"/>
                <w:shd w:val="clear" w:color="auto" w:fill="auto"/>
              </w:rPr>
            </w:pPr>
          </w:p>
          <w:p>
            <w:pPr>
              <w:spacing w:before="60" w:line="102" w:lineRule="exact"/>
              <w:ind w:firstLine="616"/>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w:t>
            </w:r>
          </w:p>
        </w:tc>
        <w:tc>
          <w:tcPr>
            <w:tcW w:w="783" w:type="dxa"/>
            <w:vAlign w:val="top"/>
          </w:tcPr>
          <w:p>
            <w:pPr>
              <w:spacing w:line="249" w:lineRule="auto"/>
              <w:rPr>
                <w:rFonts w:ascii="Arial"/>
                <w:color w:val="auto"/>
                <w:sz w:val="24"/>
                <w:szCs w:val="24"/>
                <w:highlight w:val="none"/>
                <w:shd w:val="clear" w:color="auto" w:fill="auto"/>
              </w:rPr>
            </w:pPr>
          </w:p>
          <w:p>
            <w:pPr>
              <w:spacing w:before="60" w:line="102" w:lineRule="exact"/>
              <w:ind w:firstLine="302"/>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w:t>
            </w:r>
          </w:p>
        </w:tc>
        <w:tc>
          <w:tcPr>
            <w:tcW w:w="3137" w:type="dxa"/>
            <w:vAlign w:val="top"/>
          </w:tcPr>
          <w:p>
            <w:pPr>
              <w:rPr>
                <w:rFonts w:ascii="Arial"/>
                <w:color w:val="auto"/>
                <w:sz w:val="24"/>
                <w:szCs w:val="24"/>
                <w:highlight w:val="none"/>
                <w:shd w:val="clear" w:color="auto" w:fill="auto"/>
              </w:rPr>
            </w:pPr>
          </w:p>
        </w:tc>
        <w:tc>
          <w:tcPr>
            <w:tcW w:w="1620" w:type="dxa"/>
            <w:vAlign w:val="top"/>
          </w:tcPr>
          <w:p>
            <w:pPr>
              <w:rPr>
                <w:rFonts w:ascii="Arial"/>
                <w:color w:val="auto"/>
                <w:sz w:val="24"/>
                <w:szCs w:val="24"/>
                <w:highlight w:val="none"/>
                <w:shd w:val="clear" w:color="auto" w:fill="auto"/>
              </w:rPr>
            </w:pPr>
          </w:p>
        </w:tc>
        <w:tc>
          <w:tcPr>
            <w:tcW w:w="1410" w:type="dxa"/>
            <w:vAlign w:val="top"/>
          </w:tcPr>
          <w:p>
            <w:pPr>
              <w:rPr>
                <w:rFonts w:ascii="Arial"/>
                <w:color w:val="auto"/>
                <w:sz w:val="24"/>
                <w:szCs w:val="24"/>
                <w:highlight w:val="none"/>
                <w:shd w:val="clear" w:color="auto" w:fill="auto"/>
              </w:rPr>
            </w:pPr>
          </w:p>
        </w:tc>
      </w:tr>
    </w:tbl>
    <w:p>
      <w:pPr>
        <w:spacing w:line="409" w:lineRule="auto"/>
        <w:rPr>
          <w:rFonts w:ascii="Arial"/>
          <w:color w:val="auto"/>
          <w:sz w:val="24"/>
          <w:szCs w:val="24"/>
          <w:highlight w:val="none"/>
          <w:shd w:val="clear" w:color="auto" w:fill="auto"/>
        </w:rPr>
      </w:pPr>
    </w:p>
    <w:p>
      <w:pPr>
        <w:spacing w:before="183" w:line="281" w:lineRule="exact"/>
        <w:ind w:firstLine="120"/>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投标人全称（加盖公章） :</w:t>
      </w:r>
    </w:p>
    <w:p>
      <w:pPr>
        <w:spacing w:before="183" w:line="281" w:lineRule="exact"/>
        <w:ind w:firstLine="12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w:t>
      </w:r>
      <w:r>
        <w:rPr>
          <w:rFonts w:hint="eastAsia" w:ascii="宋体" w:hAnsi="宋体" w:cs="宋体"/>
          <w:color w:val="auto"/>
          <w:spacing w:val="-1"/>
          <w:sz w:val="24"/>
          <w:szCs w:val="24"/>
          <w:highlight w:val="none"/>
          <w:shd w:val="clear" w:color="auto" w:fill="auto"/>
          <w:lang w:val="en-US" w:eastAsia="zh-CN"/>
        </w:rPr>
        <w:t>/负责人</w:t>
      </w:r>
      <w:r>
        <w:rPr>
          <w:rFonts w:ascii="宋体" w:hAnsi="宋体" w:eastAsia="宋体" w:cs="宋体"/>
          <w:color w:val="auto"/>
          <w:spacing w:val="-1"/>
          <w:sz w:val="24"/>
          <w:szCs w:val="24"/>
          <w:highlight w:val="none"/>
          <w:shd w:val="clear" w:color="auto" w:fill="auto"/>
        </w:rPr>
        <w:t>或其投标人授权代表</w:t>
      </w:r>
      <w:r>
        <w:rPr>
          <w:rFonts w:ascii="Times New Roman" w:hAnsi="Times New Roman" w:eastAsia="Times New Roman" w:cs="Times New Roman"/>
          <w:color w:val="auto"/>
          <w:spacing w:val="-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w:t>
      </w:r>
      <w:r>
        <w:rPr>
          <w:rFonts w:ascii="Times New Roman" w:hAnsi="Times New Roman" w:eastAsia="Times New Roman" w:cs="Times New Roman"/>
          <w:color w:val="auto"/>
          <w:spacing w:val="-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w:t>
      </w:r>
    </w:p>
    <w:p>
      <w:pPr>
        <w:spacing w:before="183" w:line="281" w:lineRule="exact"/>
        <w:ind w:firstLine="120"/>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日    期：      年   月   日</w:t>
      </w:r>
    </w:p>
    <w:p>
      <w:pPr>
        <w:spacing w:line="436" w:lineRule="auto"/>
        <w:rPr>
          <w:rFonts w:ascii="Arial"/>
          <w:color w:val="auto"/>
          <w:sz w:val="21"/>
          <w:highlight w:val="none"/>
          <w:shd w:val="clear" w:color="auto" w:fill="auto"/>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Pr>
        <w:pStyle w:val="2"/>
        <w:topLinePunct w:val="0"/>
        <w:bidi w:val="0"/>
        <w:spacing w:line="360" w:lineRule="auto"/>
        <w:textAlignment w:val="auto"/>
        <w:rPr>
          <w:rFonts w:hint="default"/>
          <w:lang w:val="en-US" w:eastAsia="zh-CN"/>
        </w:rPr>
      </w:pPr>
    </w:p>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03984"/>
    <w:multiLevelType w:val="multilevel"/>
    <w:tmpl w:val="07503984"/>
    <w:lvl w:ilvl="0" w:tentative="0">
      <w:start w:val="1"/>
      <w:numFmt w:val="decimal"/>
      <w:lvlText w:val="%1)"/>
      <w:lvlJc w:val="left"/>
      <w:pPr>
        <w:ind w:left="845" w:hanging="420"/>
      </w:pPr>
      <w:rPr>
        <w:rFonts w:hint="eastAsia"/>
      </w:rPr>
    </w:lvl>
    <w:lvl w:ilvl="1" w:tentative="0">
      <w:start w:val="1"/>
      <w:numFmt w:val="decimal"/>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0A522CA8"/>
    <w:multiLevelType w:val="multilevel"/>
    <w:tmpl w:val="0A522CA8"/>
    <w:lvl w:ilvl="0" w:tentative="0">
      <w:start w:val="1"/>
      <w:numFmt w:val="decimal"/>
      <w:lvlText w:val="（%1）"/>
      <w:lvlJc w:val="left"/>
      <w:pPr>
        <w:ind w:left="2655" w:hanging="1635"/>
      </w:pPr>
      <w:rPr>
        <w:rFonts w:hint="default" w:ascii="宋体" w:hAnsi="宋体" w:eastAsia="宋体"/>
        <w:color w:val="000000"/>
      </w:r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2">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3A70F57"/>
    <w:multiLevelType w:val="multilevel"/>
    <w:tmpl w:val="13A70F57"/>
    <w:lvl w:ilvl="0" w:tentative="0">
      <w:start w:val="1"/>
      <w:numFmt w:val="chineseCountingThousand"/>
      <w:lvlText w:val="%1、"/>
      <w:lvlJc w:val="left"/>
      <w:pPr>
        <w:ind w:left="425" w:hanging="425"/>
      </w:pPr>
      <w:rPr>
        <w:rFonts w:hint="eastAsia" w:ascii="Times New Roman" w:hAnsi="Times New Roman" w:cs="Times New Roman"/>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F7E3772"/>
    <w:multiLevelType w:val="multilevel"/>
    <w:tmpl w:val="2F7E3772"/>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87"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105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6AF2735"/>
    <w:multiLevelType w:val="multilevel"/>
    <w:tmpl w:val="36AF2735"/>
    <w:lvl w:ilvl="0" w:tentative="0">
      <w:start w:val="1"/>
      <w:numFmt w:val="decimal"/>
      <w:lvlText w:val="%1．"/>
      <w:lvlJc w:val="left"/>
      <w:pPr>
        <w:tabs>
          <w:tab w:val="left" w:pos="1496"/>
        </w:tabs>
        <w:ind w:left="1496" w:hanging="930"/>
      </w:pPr>
      <w:rPr>
        <w:rFonts w:hint="default"/>
      </w:rPr>
    </w:lvl>
    <w:lvl w:ilvl="1" w:tentative="0">
      <w:start w:val="1"/>
      <w:numFmt w:val="lowerLetter"/>
      <w:lvlText w:val="%2)"/>
      <w:lvlJc w:val="left"/>
      <w:pPr>
        <w:tabs>
          <w:tab w:val="left" w:pos="1406"/>
        </w:tabs>
        <w:ind w:left="1406" w:hanging="420"/>
      </w:pPr>
    </w:lvl>
    <w:lvl w:ilvl="2" w:tentative="0">
      <w:start w:val="1"/>
      <w:numFmt w:val="lowerRoman"/>
      <w:lvlText w:val="%3."/>
      <w:lvlJc w:val="right"/>
      <w:pPr>
        <w:tabs>
          <w:tab w:val="left" w:pos="1826"/>
        </w:tabs>
        <w:ind w:left="1826" w:hanging="420"/>
      </w:pPr>
    </w:lvl>
    <w:lvl w:ilvl="3" w:tentative="0">
      <w:start w:val="1"/>
      <w:numFmt w:val="decimal"/>
      <w:lvlText w:val="%4."/>
      <w:lvlJc w:val="left"/>
      <w:pPr>
        <w:tabs>
          <w:tab w:val="left" w:pos="2246"/>
        </w:tabs>
        <w:ind w:left="2246" w:hanging="420"/>
      </w:pPr>
    </w:lvl>
    <w:lvl w:ilvl="4" w:tentative="0">
      <w:start w:val="1"/>
      <w:numFmt w:val="lowerLetter"/>
      <w:lvlText w:val="%5)"/>
      <w:lvlJc w:val="left"/>
      <w:pPr>
        <w:tabs>
          <w:tab w:val="left" w:pos="2666"/>
        </w:tabs>
        <w:ind w:left="2666" w:hanging="420"/>
      </w:pPr>
    </w:lvl>
    <w:lvl w:ilvl="5" w:tentative="0">
      <w:start w:val="1"/>
      <w:numFmt w:val="lowerRoman"/>
      <w:lvlText w:val="%6."/>
      <w:lvlJc w:val="right"/>
      <w:pPr>
        <w:tabs>
          <w:tab w:val="left" w:pos="3086"/>
        </w:tabs>
        <w:ind w:left="3086" w:hanging="420"/>
      </w:pPr>
    </w:lvl>
    <w:lvl w:ilvl="6" w:tentative="0">
      <w:start w:val="1"/>
      <w:numFmt w:val="decimal"/>
      <w:lvlText w:val="%7."/>
      <w:lvlJc w:val="left"/>
      <w:pPr>
        <w:tabs>
          <w:tab w:val="left" w:pos="3506"/>
        </w:tabs>
        <w:ind w:left="3506" w:hanging="420"/>
      </w:pPr>
    </w:lvl>
    <w:lvl w:ilvl="7" w:tentative="0">
      <w:start w:val="1"/>
      <w:numFmt w:val="lowerLetter"/>
      <w:lvlText w:val="%8)"/>
      <w:lvlJc w:val="left"/>
      <w:pPr>
        <w:tabs>
          <w:tab w:val="left" w:pos="3926"/>
        </w:tabs>
        <w:ind w:left="3926" w:hanging="420"/>
      </w:pPr>
    </w:lvl>
    <w:lvl w:ilvl="8" w:tentative="0">
      <w:start w:val="1"/>
      <w:numFmt w:val="lowerRoman"/>
      <w:lvlText w:val="%9."/>
      <w:lvlJc w:val="right"/>
      <w:pPr>
        <w:tabs>
          <w:tab w:val="left" w:pos="4346"/>
        </w:tabs>
        <w:ind w:left="4346" w:hanging="420"/>
      </w:pPr>
    </w:lvl>
  </w:abstractNum>
  <w:abstractNum w:abstractNumId="8">
    <w:nsid w:val="3FC8D7A9"/>
    <w:multiLevelType w:val="singleLevel"/>
    <w:tmpl w:val="3FC8D7A9"/>
    <w:lvl w:ilvl="0" w:tentative="0">
      <w:start w:val="2"/>
      <w:numFmt w:val="chineseCounting"/>
      <w:suff w:val="space"/>
      <w:lvlText w:val="第%1章"/>
      <w:lvlJc w:val="left"/>
      <w:rPr>
        <w:rFonts w:hint="eastAsia"/>
      </w:rPr>
    </w:lvl>
  </w:abstractNum>
  <w:abstractNum w:abstractNumId="9">
    <w:nsid w:val="4891B8BD"/>
    <w:multiLevelType w:val="singleLevel"/>
    <w:tmpl w:val="4891B8BD"/>
    <w:lvl w:ilvl="0" w:tentative="0">
      <w:start w:val="1"/>
      <w:numFmt w:val="decimal"/>
      <w:lvlText w:val="%1."/>
      <w:lvlJc w:val="left"/>
      <w:pPr>
        <w:tabs>
          <w:tab w:val="left" w:pos="312"/>
        </w:tabs>
      </w:pPr>
    </w:lvl>
  </w:abstractNum>
  <w:abstractNum w:abstractNumId="10">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2269"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1706E86"/>
    <w:multiLevelType w:val="multilevel"/>
    <w:tmpl w:val="51706E8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24152D3"/>
    <w:multiLevelType w:val="multilevel"/>
    <w:tmpl w:val="524152D3"/>
    <w:lvl w:ilvl="0" w:tentative="0">
      <w:start w:val="1"/>
      <w:numFmt w:val="japaneseCounting"/>
      <w:lvlText w:val="%1、"/>
      <w:lvlJc w:val="left"/>
      <w:pPr>
        <w:tabs>
          <w:tab w:val="left" w:pos="1565"/>
        </w:tabs>
        <w:ind w:left="156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216BF3"/>
    <w:multiLevelType w:val="multilevel"/>
    <w:tmpl w:val="56216BF3"/>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E6F60E4"/>
    <w:multiLevelType w:val="multilevel"/>
    <w:tmpl w:val="6E6F60E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E6F60EA"/>
    <w:multiLevelType w:val="multilevel"/>
    <w:tmpl w:val="6E6F60E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3"/>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6">
    <w:nsid w:val="6E6F60EB"/>
    <w:multiLevelType w:val="multilevel"/>
    <w:tmpl w:val="6E6F60E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5"/>
  </w:num>
  <w:num w:numId="2">
    <w:abstractNumId w:val="12"/>
  </w:num>
  <w:num w:numId="3">
    <w:abstractNumId w:val="6"/>
  </w:num>
  <w:num w:numId="4">
    <w:abstractNumId w:val="1"/>
  </w:num>
  <w:num w:numId="5">
    <w:abstractNumId w:val="8"/>
  </w:num>
  <w:num w:numId="6">
    <w:abstractNumId w:val="3"/>
  </w:num>
  <w:num w:numId="7">
    <w:abstractNumId w:val="10"/>
  </w:num>
  <w:num w:numId="8">
    <w:abstractNumId w:val="14"/>
  </w:num>
  <w:num w:numId="9">
    <w:abstractNumId w:val="7"/>
  </w:num>
  <w:num w:numId="10">
    <w:abstractNumId w:val="13"/>
  </w:num>
  <w:num w:numId="11">
    <w:abstractNumId w:val="0"/>
  </w:num>
  <w:num w:numId="12">
    <w:abstractNumId w:val="11"/>
  </w:num>
  <w:num w:numId="13">
    <w:abstractNumId w:val="9"/>
  </w:num>
  <w:num w:numId="14">
    <w:abstractNumId w:val="2"/>
  </w:num>
  <w:num w:numId="15">
    <w:abstractNumId w:val="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WJhNzUyM2RkZmQzMmIyZjFkNjAwMTQxMGVkYTcifQ=="/>
  </w:docVars>
  <w:rsids>
    <w:rsidRoot w:val="7AC944D4"/>
    <w:rsid w:val="00236307"/>
    <w:rsid w:val="00323594"/>
    <w:rsid w:val="004473E1"/>
    <w:rsid w:val="00F13455"/>
    <w:rsid w:val="013E0AA7"/>
    <w:rsid w:val="014E37E4"/>
    <w:rsid w:val="01695955"/>
    <w:rsid w:val="01DC130A"/>
    <w:rsid w:val="01EB5F20"/>
    <w:rsid w:val="021340A8"/>
    <w:rsid w:val="02271053"/>
    <w:rsid w:val="02276C23"/>
    <w:rsid w:val="03300B3D"/>
    <w:rsid w:val="0345316A"/>
    <w:rsid w:val="041C63F8"/>
    <w:rsid w:val="0451539D"/>
    <w:rsid w:val="04F15439"/>
    <w:rsid w:val="0508709A"/>
    <w:rsid w:val="06055D89"/>
    <w:rsid w:val="06D26E56"/>
    <w:rsid w:val="07C57CB7"/>
    <w:rsid w:val="0809199A"/>
    <w:rsid w:val="08447417"/>
    <w:rsid w:val="092F7F93"/>
    <w:rsid w:val="0998538F"/>
    <w:rsid w:val="09D733C5"/>
    <w:rsid w:val="0A8A12B5"/>
    <w:rsid w:val="0B627540"/>
    <w:rsid w:val="0B6C480D"/>
    <w:rsid w:val="0BA20AC1"/>
    <w:rsid w:val="0DE34763"/>
    <w:rsid w:val="0DFE4B8B"/>
    <w:rsid w:val="0E360796"/>
    <w:rsid w:val="0E567BB6"/>
    <w:rsid w:val="0E740303"/>
    <w:rsid w:val="0F04675F"/>
    <w:rsid w:val="0F076566"/>
    <w:rsid w:val="0F47034F"/>
    <w:rsid w:val="0F875DF7"/>
    <w:rsid w:val="0FEF7592"/>
    <w:rsid w:val="10A03D4E"/>
    <w:rsid w:val="116C09D8"/>
    <w:rsid w:val="11AA1B2B"/>
    <w:rsid w:val="11D11F25"/>
    <w:rsid w:val="11E852A0"/>
    <w:rsid w:val="12435EBF"/>
    <w:rsid w:val="125C1C7D"/>
    <w:rsid w:val="13240E09"/>
    <w:rsid w:val="136B0ACF"/>
    <w:rsid w:val="1373509C"/>
    <w:rsid w:val="139E2A55"/>
    <w:rsid w:val="144F741C"/>
    <w:rsid w:val="148343A1"/>
    <w:rsid w:val="14981A0D"/>
    <w:rsid w:val="14A741C1"/>
    <w:rsid w:val="15752A3C"/>
    <w:rsid w:val="15792347"/>
    <w:rsid w:val="157B4328"/>
    <w:rsid w:val="15D8308C"/>
    <w:rsid w:val="15ED29B5"/>
    <w:rsid w:val="15F92A2C"/>
    <w:rsid w:val="16E15622"/>
    <w:rsid w:val="1715344F"/>
    <w:rsid w:val="176448CA"/>
    <w:rsid w:val="17BA72A1"/>
    <w:rsid w:val="17FD699F"/>
    <w:rsid w:val="18FD4221"/>
    <w:rsid w:val="1A756D6C"/>
    <w:rsid w:val="1A826C19"/>
    <w:rsid w:val="1B77492C"/>
    <w:rsid w:val="1BB97AF6"/>
    <w:rsid w:val="1C0F23F6"/>
    <w:rsid w:val="1C0F5C22"/>
    <w:rsid w:val="1C212506"/>
    <w:rsid w:val="1C70670E"/>
    <w:rsid w:val="1C972706"/>
    <w:rsid w:val="1CC56D24"/>
    <w:rsid w:val="1D1D5FC9"/>
    <w:rsid w:val="1DFE28AB"/>
    <w:rsid w:val="1E5E1DB7"/>
    <w:rsid w:val="1EE55BA8"/>
    <w:rsid w:val="1F13278F"/>
    <w:rsid w:val="1F141A8F"/>
    <w:rsid w:val="1F6B761E"/>
    <w:rsid w:val="20544C44"/>
    <w:rsid w:val="208219F6"/>
    <w:rsid w:val="20A01719"/>
    <w:rsid w:val="22ED3919"/>
    <w:rsid w:val="234E4A23"/>
    <w:rsid w:val="24527C37"/>
    <w:rsid w:val="247D0FB7"/>
    <w:rsid w:val="249453E8"/>
    <w:rsid w:val="24DD73FE"/>
    <w:rsid w:val="2578161A"/>
    <w:rsid w:val="25BF6B60"/>
    <w:rsid w:val="25EF0C97"/>
    <w:rsid w:val="26085321"/>
    <w:rsid w:val="261F0326"/>
    <w:rsid w:val="269D7E78"/>
    <w:rsid w:val="26A92C97"/>
    <w:rsid w:val="26CF59EC"/>
    <w:rsid w:val="27AC5CF5"/>
    <w:rsid w:val="28227C28"/>
    <w:rsid w:val="285038AF"/>
    <w:rsid w:val="29482BA4"/>
    <w:rsid w:val="2A6A0B3D"/>
    <w:rsid w:val="2AA9726B"/>
    <w:rsid w:val="2AB3717E"/>
    <w:rsid w:val="2AD03B24"/>
    <w:rsid w:val="2B2A1E5F"/>
    <w:rsid w:val="2BA322FE"/>
    <w:rsid w:val="2BB61F58"/>
    <w:rsid w:val="2C0C1E1A"/>
    <w:rsid w:val="2C0C2276"/>
    <w:rsid w:val="2C68543F"/>
    <w:rsid w:val="2D1175DE"/>
    <w:rsid w:val="2D4308F1"/>
    <w:rsid w:val="2D833177"/>
    <w:rsid w:val="2E535A9F"/>
    <w:rsid w:val="2E546E99"/>
    <w:rsid w:val="2EC8462D"/>
    <w:rsid w:val="2EFC6476"/>
    <w:rsid w:val="2F907795"/>
    <w:rsid w:val="30377EA9"/>
    <w:rsid w:val="30861616"/>
    <w:rsid w:val="30BD588E"/>
    <w:rsid w:val="30C317EC"/>
    <w:rsid w:val="311120EF"/>
    <w:rsid w:val="311B0A30"/>
    <w:rsid w:val="313760FE"/>
    <w:rsid w:val="31AB15B0"/>
    <w:rsid w:val="32726159"/>
    <w:rsid w:val="329F25A2"/>
    <w:rsid w:val="34713D72"/>
    <w:rsid w:val="348229D9"/>
    <w:rsid w:val="34B9511C"/>
    <w:rsid w:val="34D14673"/>
    <w:rsid w:val="35895B69"/>
    <w:rsid w:val="36764985"/>
    <w:rsid w:val="36AC0AD0"/>
    <w:rsid w:val="36C12635"/>
    <w:rsid w:val="374246DB"/>
    <w:rsid w:val="3748289E"/>
    <w:rsid w:val="37D8436B"/>
    <w:rsid w:val="38245C15"/>
    <w:rsid w:val="384B4D01"/>
    <w:rsid w:val="38516012"/>
    <w:rsid w:val="389D3B29"/>
    <w:rsid w:val="396C6C1E"/>
    <w:rsid w:val="3A3C5127"/>
    <w:rsid w:val="3A8B4787"/>
    <w:rsid w:val="3AF2042A"/>
    <w:rsid w:val="3B9C55A0"/>
    <w:rsid w:val="3C1265D3"/>
    <w:rsid w:val="3CE172DE"/>
    <w:rsid w:val="3D375367"/>
    <w:rsid w:val="3D395CE2"/>
    <w:rsid w:val="3DB87BF3"/>
    <w:rsid w:val="3DFD31E1"/>
    <w:rsid w:val="3EA1464D"/>
    <w:rsid w:val="3ED63D93"/>
    <w:rsid w:val="3FF85237"/>
    <w:rsid w:val="40625698"/>
    <w:rsid w:val="42F675AD"/>
    <w:rsid w:val="430E2EA2"/>
    <w:rsid w:val="45743AE0"/>
    <w:rsid w:val="45A45089"/>
    <w:rsid w:val="45AA4870"/>
    <w:rsid w:val="45CE418E"/>
    <w:rsid w:val="46001F68"/>
    <w:rsid w:val="4618789D"/>
    <w:rsid w:val="466D32B8"/>
    <w:rsid w:val="468A2757"/>
    <w:rsid w:val="468F622C"/>
    <w:rsid w:val="469F3EF7"/>
    <w:rsid w:val="46A03CD2"/>
    <w:rsid w:val="474D6519"/>
    <w:rsid w:val="47CE223F"/>
    <w:rsid w:val="485F7FF4"/>
    <w:rsid w:val="48A670BD"/>
    <w:rsid w:val="49014484"/>
    <w:rsid w:val="49810A5E"/>
    <w:rsid w:val="4A475FA5"/>
    <w:rsid w:val="4B3E21A2"/>
    <w:rsid w:val="4B5C42C4"/>
    <w:rsid w:val="4C1D3051"/>
    <w:rsid w:val="4CEE08B8"/>
    <w:rsid w:val="4CF546C5"/>
    <w:rsid w:val="4EA16C47"/>
    <w:rsid w:val="4EC106B3"/>
    <w:rsid w:val="4F102F37"/>
    <w:rsid w:val="4F161CC0"/>
    <w:rsid w:val="4F706C9F"/>
    <w:rsid w:val="4FEC5131"/>
    <w:rsid w:val="50510FAE"/>
    <w:rsid w:val="50F93A13"/>
    <w:rsid w:val="52314AEC"/>
    <w:rsid w:val="523E6EFD"/>
    <w:rsid w:val="524A183D"/>
    <w:rsid w:val="524E4084"/>
    <w:rsid w:val="52D53AF5"/>
    <w:rsid w:val="535C7C77"/>
    <w:rsid w:val="53EB7C51"/>
    <w:rsid w:val="542A7AED"/>
    <w:rsid w:val="54950405"/>
    <w:rsid w:val="5555676D"/>
    <w:rsid w:val="563C700F"/>
    <w:rsid w:val="56CF22A6"/>
    <w:rsid w:val="586D521B"/>
    <w:rsid w:val="589F2109"/>
    <w:rsid w:val="58BE3457"/>
    <w:rsid w:val="59556595"/>
    <w:rsid w:val="59591292"/>
    <w:rsid w:val="59AE35D3"/>
    <w:rsid w:val="5A547BC6"/>
    <w:rsid w:val="5B7C4E31"/>
    <w:rsid w:val="5C787FDB"/>
    <w:rsid w:val="5C8A494C"/>
    <w:rsid w:val="5D21795F"/>
    <w:rsid w:val="5D4308E0"/>
    <w:rsid w:val="5DAB68E6"/>
    <w:rsid w:val="5E211BC8"/>
    <w:rsid w:val="5E6B2473"/>
    <w:rsid w:val="5E7346AA"/>
    <w:rsid w:val="5EE23638"/>
    <w:rsid w:val="5EFE44D3"/>
    <w:rsid w:val="5F1947D5"/>
    <w:rsid w:val="5F2519DA"/>
    <w:rsid w:val="5FE02412"/>
    <w:rsid w:val="60217960"/>
    <w:rsid w:val="602E7347"/>
    <w:rsid w:val="60E952B5"/>
    <w:rsid w:val="61B05D7E"/>
    <w:rsid w:val="61C96B26"/>
    <w:rsid w:val="624F16B7"/>
    <w:rsid w:val="631825A9"/>
    <w:rsid w:val="64911786"/>
    <w:rsid w:val="64CE10B6"/>
    <w:rsid w:val="656112AE"/>
    <w:rsid w:val="664E0DBB"/>
    <w:rsid w:val="66B6429F"/>
    <w:rsid w:val="670A7CBE"/>
    <w:rsid w:val="670C3051"/>
    <w:rsid w:val="674C69F9"/>
    <w:rsid w:val="678225CC"/>
    <w:rsid w:val="68507502"/>
    <w:rsid w:val="69175689"/>
    <w:rsid w:val="692135A9"/>
    <w:rsid w:val="697D270E"/>
    <w:rsid w:val="69876456"/>
    <w:rsid w:val="6996604F"/>
    <w:rsid w:val="69AA6FA6"/>
    <w:rsid w:val="69D33A9A"/>
    <w:rsid w:val="6A7062C0"/>
    <w:rsid w:val="6AA04F4E"/>
    <w:rsid w:val="6B3D4D11"/>
    <w:rsid w:val="6BD534C6"/>
    <w:rsid w:val="6CBB466D"/>
    <w:rsid w:val="6EC10E72"/>
    <w:rsid w:val="6F025F3F"/>
    <w:rsid w:val="704774C3"/>
    <w:rsid w:val="704A077B"/>
    <w:rsid w:val="709A3EC5"/>
    <w:rsid w:val="70CC474E"/>
    <w:rsid w:val="70F50EAF"/>
    <w:rsid w:val="71B7750F"/>
    <w:rsid w:val="71CE17A0"/>
    <w:rsid w:val="7220626D"/>
    <w:rsid w:val="72C71589"/>
    <w:rsid w:val="72F93358"/>
    <w:rsid w:val="72FB680B"/>
    <w:rsid w:val="73142337"/>
    <w:rsid w:val="73881739"/>
    <w:rsid w:val="73894E50"/>
    <w:rsid w:val="743838EF"/>
    <w:rsid w:val="74783927"/>
    <w:rsid w:val="75C821C7"/>
    <w:rsid w:val="761A73E5"/>
    <w:rsid w:val="76851718"/>
    <w:rsid w:val="76A32FC5"/>
    <w:rsid w:val="77064C33"/>
    <w:rsid w:val="77424B2C"/>
    <w:rsid w:val="787F22E8"/>
    <w:rsid w:val="78891576"/>
    <w:rsid w:val="78F06D22"/>
    <w:rsid w:val="79235AAE"/>
    <w:rsid w:val="793B5F0B"/>
    <w:rsid w:val="79841DF0"/>
    <w:rsid w:val="79A67096"/>
    <w:rsid w:val="7A7A4038"/>
    <w:rsid w:val="7AC944D4"/>
    <w:rsid w:val="7AC97E53"/>
    <w:rsid w:val="7B57119A"/>
    <w:rsid w:val="7B7E1C45"/>
    <w:rsid w:val="7C491494"/>
    <w:rsid w:val="7CF07698"/>
    <w:rsid w:val="7DCE653B"/>
    <w:rsid w:val="7EA4744C"/>
    <w:rsid w:val="7EC31A3F"/>
    <w:rsid w:val="7F9C7136"/>
    <w:rsid w:val="7FD9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6"/>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6">
    <w:name w:val="Normal Indent"/>
    <w:basedOn w:val="1"/>
    <w:qFormat/>
    <w:uiPriority w:val="0"/>
    <w:pPr>
      <w:ind w:firstLine="420"/>
    </w:pPr>
    <w:rPr>
      <w:rFonts w:ascii="Times New Roman" w:hAnsi="Times New Roman"/>
      <w:kern w:val="0"/>
      <w:szCs w:val="20"/>
    </w:rPr>
  </w:style>
  <w:style w:type="paragraph" w:styleId="8">
    <w:name w:val="annotation text"/>
    <w:basedOn w:val="1"/>
    <w:qFormat/>
    <w:uiPriority w:val="0"/>
    <w:pPr>
      <w:jc w:val="left"/>
    </w:pPr>
  </w:style>
  <w:style w:type="paragraph" w:styleId="9">
    <w:name w:val="Body Text 3"/>
    <w:basedOn w:val="1"/>
    <w:qFormat/>
    <w:uiPriority w:val="0"/>
    <w:pPr>
      <w:spacing w:after="120" w:afterLines="0"/>
    </w:pPr>
    <w:rPr>
      <w:sz w:val="16"/>
      <w:szCs w:val="16"/>
    </w:rPr>
  </w:style>
  <w:style w:type="paragraph" w:styleId="10">
    <w:name w:val="Body Text"/>
    <w:basedOn w:val="1"/>
    <w:qFormat/>
    <w:uiPriority w:val="0"/>
    <w:rPr>
      <w:sz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itle"/>
    <w:basedOn w:val="1"/>
    <w:next w:val="1"/>
    <w:qFormat/>
    <w:uiPriority w:val="10"/>
    <w:pPr>
      <w:spacing w:beforeLines="100" w:afterLines="100"/>
      <w:jc w:val="center"/>
      <w:outlineLvl w:val="0"/>
    </w:pPr>
    <w:rPr>
      <w:rFonts w:ascii="Arial" w:hAnsi="Arial" w:eastAsia="黑体"/>
      <w:bCs/>
      <w:sz w:val="4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表格文字"/>
    <w:basedOn w:val="1"/>
    <w:qFormat/>
    <w:uiPriority w:val="0"/>
    <w:pPr>
      <w:spacing w:before="25" w:after="25"/>
      <w:jc w:val="left"/>
    </w:pPr>
    <w:rPr>
      <w:bCs/>
      <w:spacing w:val="10"/>
      <w:kern w:val="0"/>
      <w:sz w:val="24"/>
      <w:szCs w:val="20"/>
    </w:rPr>
  </w:style>
  <w:style w:type="character" w:customStyle="1" w:styleId="20">
    <w:name w:val="p141"/>
    <w:qFormat/>
    <w:uiPriority w:val="0"/>
    <w:rPr>
      <w:sz w:val="21"/>
      <w:szCs w:val="21"/>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1_0"/>
    <w:basedOn w:val="23"/>
    <w:next w:val="24"/>
    <w:qFormat/>
    <w:uiPriority w:val="34"/>
    <w:pPr>
      <w:spacing w:line="400" w:lineRule="exact"/>
      <w:ind w:firstLine="420" w:firstLineChars="200"/>
    </w:pPr>
    <w:rPr>
      <w:rFonts w:eastAsia="仿宋_GB2312"/>
      <w:sz w:val="24"/>
    </w:rPr>
  </w:style>
  <w:style w:type="paragraph" w:customStyle="1" w:styleId="23">
    <w:name w:val="Normal_3"/>
    <w:qFormat/>
    <w:uiPriority w:val="0"/>
    <w:rPr>
      <w:rFonts w:ascii="Times New Roman" w:hAnsi="Times New Roman" w:eastAsia="宋体" w:cs="Times New Roman"/>
      <w:sz w:val="21"/>
      <w:lang w:val="en-US" w:eastAsia="zh-CN" w:bidi="ar-SA"/>
    </w:rPr>
  </w:style>
  <w:style w:type="paragraph" w:customStyle="1" w:styleId="24">
    <w:name w:val="Plain Text"/>
    <w:basedOn w:val="23"/>
    <w:qFormat/>
    <w:uiPriority w:val="0"/>
    <w:rPr>
      <w:rFonts w:ascii="宋体" w:hAnsi="Courier New"/>
      <w:sz w:val="20"/>
      <w:szCs w:val="21"/>
    </w:rPr>
  </w:style>
  <w:style w:type="paragraph" w:customStyle="1" w:styleId="25">
    <w:name w:val="正文_0"/>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26">
    <w:name w:val="List Paragraph"/>
    <w:basedOn w:val="27"/>
    <w:qFormat/>
    <w:uiPriority w:val="34"/>
    <w:pPr>
      <w:ind w:firstLine="420" w:firstLineChars="200"/>
    </w:pPr>
  </w:style>
  <w:style w:type="paragraph" w:customStyle="1" w:styleId="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9">
    <w:name w:val="Table Paragraph"/>
    <w:basedOn w:val="1"/>
    <w:qFormat/>
    <w:uiPriority w:val="1"/>
  </w:style>
  <w:style w:type="paragraph" w:customStyle="1" w:styleId="30">
    <w:name w:val="1"/>
    <w:basedOn w:val="1"/>
    <w:next w:val="11"/>
    <w:qFormat/>
    <w:uiPriority w:val="0"/>
    <w:pPr>
      <w:widowControl w:val="0"/>
      <w:jc w:val="both"/>
    </w:pPr>
    <w:rPr>
      <w:rFonts w:ascii="宋体" w:hAnsi="Courier New"/>
      <w:kern w:val="2"/>
    </w:rPr>
  </w:style>
  <w:style w:type="paragraph" w:customStyle="1" w:styleId="31">
    <w:name w:val="纯文本_0"/>
    <w:basedOn w:val="32"/>
    <w:unhideWhenUsed/>
    <w:qFormat/>
    <w:uiPriority w:val="0"/>
    <w:pPr>
      <w:widowControl/>
      <w:jc w:val="left"/>
    </w:pPr>
    <w:rPr>
      <w:rFonts w:ascii="宋体" w:hAnsi="Courier New"/>
      <w:kern w:val="0"/>
      <w:sz w:val="20"/>
      <w:szCs w:val="21"/>
    </w:rPr>
  </w:style>
  <w:style w:type="paragraph" w:customStyle="1" w:styleId="3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标题 3_0"/>
    <w:basedOn w:val="32"/>
    <w:next w:val="32"/>
    <w:unhideWhenUsed/>
    <w:qFormat/>
    <w:uiPriority w:val="9"/>
    <w:pPr>
      <w:keepNext/>
      <w:keepLines/>
      <w:numPr>
        <w:ilvl w:val="2"/>
        <w:numId w:val="1"/>
      </w:numPr>
      <w:spacing w:before="260" w:after="260" w:line="416" w:lineRule="auto"/>
      <w:outlineLvl w:val="2"/>
    </w:pPr>
    <w:rPr>
      <w:b/>
      <w:bCs/>
      <w:kern w:val="0"/>
      <w:sz w:val="32"/>
      <w:szCs w:val="32"/>
    </w:rPr>
  </w:style>
  <w:style w:type="paragraph" w:customStyle="1" w:styleId="34">
    <w:name w:val="纯文本_0_0"/>
    <w:basedOn w:val="35"/>
    <w:unhideWhenUsed/>
    <w:qFormat/>
    <w:uiPriority w:val="0"/>
    <w:pPr>
      <w:widowControl/>
      <w:jc w:val="left"/>
    </w:pPr>
    <w:rPr>
      <w:rFonts w:ascii="宋体" w:hAnsi="Courier New"/>
      <w:kern w:val="0"/>
      <w:sz w:val="20"/>
      <w:szCs w:val="21"/>
    </w:rPr>
  </w:style>
  <w:style w:type="paragraph" w:customStyle="1" w:styleId="35">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p141_1"/>
    <w:qFormat/>
    <w:uiPriority w:val="0"/>
    <w:rPr>
      <w:rFonts w:ascii="Calibri" w:hAnsi="Calibri" w:eastAsia="宋体"/>
      <w:sz w:val="21"/>
      <w:szCs w:val="21"/>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9"/>
    <w:qFormat/>
    <w:uiPriority w:val="0"/>
    <w:rPr>
      <w:rFonts w:ascii="Times New Roman" w:hAnsi="Times New Roman" w:eastAsia="宋体" w:cs="Times New Roman"/>
      <w:sz w:val="21"/>
      <w:lang w:val="en-US" w:eastAsia="zh-CN" w:bidi="ar-SA"/>
    </w:rPr>
  </w:style>
  <w:style w:type="paragraph" w:customStyle="1" w:styleId="40">
    <w:name w:val="Normal_18"/>
    <w:qFormat/>
    <w:uiPriority w:val="0"/>
    <w:pPr>
      <w:widowControl w:val="0"/>
      <w:jc w:val="both"/>
    </w:pPr>
    <w:rPr>
      <w:rFonts w:ascii="Calibri" w:hAnsi="Calibri" w:eastAsia="宋体" w:cs="Times New Roman"/>
      <w:kern w:val="2"/>
      <w:sz w:val="21"/>
      <w:szCs w:val="22"/>
      <w:lang w:bidi="ar-SA"/>
    </w:rPr>
  </w:style>
  <w:style w:type="paragraph" w:customStyle="1" w:styleId="41">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DocDefaults"/>
    <w:basedOn w:val="1"/>
    <w:qFormat/>
    <w:uiPriority w:val="0"/>
    <w:pPr>
      <w:spacing w:line="276" w:lineRule="auto"/>
    </w:pPr>
    <w:rPr>
      <w:sz w:val="20"/>
      <w:szCs w:val="20"/>
    </w:rPr>
  </w:style>
  <w:style w:type="character" w:customStyle="1" w:styleId="43">
    <w:name w:val="2 "/>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13810</Words>
  <Characters>14287</Characters>
  <Lines>0</Lines>
  <Paragraphs>0</Paragraphs>
  <TotalTime>4</TotalTime>
  <ScaleCrop>false</ScaleCrop>
  <LinksUpToDate>false</LinksUpToDate>
  <CharactersWithSpaces>15281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2022-04-18T01:55:00Z</dcterms:created>
  <dc:creator>.</dc:creator>
  <cp:lastModifiedBy>陈宏量</cp:lastModifiedBy>
  <cp:lastPrinted>2022-04-27T07:46:00Z</cp:lastPrinted>
  <dcterms:modified xsi:type="dcterms:W3CDTF">2022-09-06T09:27:56Z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6ADFEAF62FE2440D909CDE9520CA2F9B</vt:lpwstr>
  </property>
</Properties>
</file>