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Hans"/>
        </w:rPr>
        <w:t>物料设计工作需求表</w:t>
      </w:r>
    </w:p>
    <w:tbl>
      <w:tblPr>
        <w:tblStyle w:val="3"/>
        <w:tblW w:w="8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488"/>
        <w:gridCol w:w="2345"/>
        <w:gridCol w:w="3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312"/>
              </w:tabs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/>
              </w:rPr>
              <w:t>尺寸规格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党建文化墙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3面墙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党建活动室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1间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党员服务队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公益宣传背心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件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灯箱片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X23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有机片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80X140cm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标语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横幅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70X1000cm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7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海报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X3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喷画</w:t>
            </w:r>
          </w:p>
        </w:tc>
        <w:tc>
          <w:tcPr>
            <w:tcW w:w="2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0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90X130cm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以上项目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设计、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制作、配送及安装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等，尺寸规格以实际为准。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部分未列入需求表的项目由双方商议确定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Hans"/>
              </w:rPr>
              <w:t>可根据实际成本置换或替换制作物品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4B3C"/>
    <w:rsid w:val="212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2023-04-21T03:18:00Z</dcterms:created>
  <dc:creator>何小文</dc:creator>
  <cp:lastModifiedBy>何小文</cp:lastModifiedBy>
  <dcterms:modified xsi:type="dcterms:W3CDTF">2023-04-21T03:18:45Z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