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ascii="方正小标宋简体" w:hAnsi="方正小标宋简体" w:eastAsia="方正小标宋简体" w:cs="方正小标宋简体"/>
          <w:b/>
          <w:sz w:val="72"/>
          <w:szCs w:val="36"/>
          <w:lang w:eastAsia="zh-CN"/>
        </w:rPr>
      </w:pPr>
      <w:r>
        <w:rPr>
          <w:rFonts w:hint="eastAsia" w:ascii="方正小标宋简体" w:hAnsi="方正小标宋简体" w:eastAsia="方正小标宋简体" w:cs="方正小标宋简体"/>
          <w:b/>
          <w:sz w:val="72"/>
          <w:szCs w:val="36"/>
          <w:lang w:val="en-US" w:eastAsia="zh-CN"/>
        </w:rPr>
        <w:t>招标</w:t>
      </w:r>
      <w:r>
        <w:rPr>
          <w:rFonts w:hint="eastAsia" w:ascii="方正小标宋简体" w:hAnsi="方正小标宋简体" w:eastAsia="方正小标宋简体" w:cs="方正小标宋简体"/>
          <w:b/>
          <w:sz w:val="72"/>
          <w:szCs w:val="36"/>
        </w:rPr>
        <w:t>文件</w:t>
      </w:r>
    </w:p>
    <w:p>
      <w:pPr>
        <w:jc w:val="center"/>
        <w:rPr>
          <w:rFonts w:hint="eastAsia" w:eastAsiaTheme="minorEastAsia"/>
          <w:b/>
          <w:sz w:val="48"/>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pPr>
    </w:p>
    <w:p>
      <w:pPr>
        <w:jc w:val="center"/>
      </w:pPr>
    </w:p>
    <w:p>
      <w:pPr>
        <w:jc w:val="center"/>
      </w:pPr>
    </w:p>
    <w:p>
      <w:pPr>
        <w:jc w:val="center"/>
        <w:rPr>
          <w:rFonts w:hint="eastAsia" w:eastAsiaTheme="minorEastAsia"/>
          <w:lang w:eastAsia="zh-CN"/>
        </w:rPr>
      </w:pPr>
    </w:p>
    <w:p>
      <w:pPr>
        <w:jc w:val="cente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b/>
          <w:sz w:val="28"/>
          <w:szCs w:val="28"/>
        </w:rPr>
      </w:pPr>
      <w:r>
        <w:rPr>
          <w:b/>
          <w:sz w:val="28"/>
          <w:szCs w:val="28"/>
        </w:rPr>
        <w:t>项目名称：广州市</w:t>
      </w:r>
      <w:r>
        <w:rPr>
          <w:rFonts w:hint="eastAsia"/>
          <w:b/>
          <w:sz w:val="28"/>
          <w:szCs w:val="28"/>
          <w:lang w:val="en-US" w:eastAsia="zh-CN"/>
        </w:rPr>
        <w:t>人事服务中心</w:t>
      </w:r>
      <w:r>
        <w:rPr>
          <w:b/>
          <w:sz w:val="28"/>
          <w:szCs w:val="28"/>
        </w:rPr>
        <w:t>2023年度干部职工</w:t>
      </w:r>
    </w:p>
    <w:p>
      <w:pPr>
        <w:keepNext w:val="0"/>
        <w:keepLines w:val="0"/>
        <w:pageBreakBefore w:val="0"/>
        <w:widowControl w:val="0"/>
        <w:kinsoku/>
        <w:wordWrap/>
        <w:overflowPunct/>
        <w:topLinePunct w:val="0"/>
        <w:autoSpaceDE/>
        <w:autoSpaceDN/>
        <w:bidi w:val="0"/>
        <w:adjustRightInd/>
        <w:snapToGrid/>
        <w:spacing w:line="360" w:lineRule="auto"/>
        <w:ind w:firstLine="1405" w:firstLineChars="500"/>
        <w:jc w:val="both"/>
        <w:textAlignment w:val="auto"/>
        <w:rPr>
          <w:sz w:val="22"/>
          <w:szCs w:val="28"/>
        </w:rPr>
      </w:pPr>
      <w:r>
        <w:rPr>
          <w:b/>
          <w:sz w:val="28"/>
          <w:szCs w:val="28"/>
        </w:rPr>
        <w:t>健康体检休养项目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Theme="minorEastAsia"/>
          <w:sz w:val="22"/>
          <w:szCs w:val="28"/>
          <w:lang w:val="en-US" w:eastAsia="zh-CN"/>
        </w:rPr>
      </w:pPr>
      <w:r>
        <w:rPr>
          <w:b/>
          <w:sz w:val="28"/>
          <w:szCs w:val="28"/>
        </w:rPr>
        <w:t>采</w:t>
      </w:r>
      <w:r>
        <w:rPr>
          <w:rFonts w:hint="eastAsia"/>
          <w:b/>
          <w:sz w:val="28"/>
          <w:szCs w:val="28"/>
          <w:lang w:val="en-US" w:eastAsia="zh-CN"/>
        </w:rPr>
        <w:t xml:space="preserve"> </w:t>
      </w:r>
      <w:r>
        <w:rPr>
          <w:b/>
          <w:sz w:val="28"/>
          <w:szCs w:val="28"/>
        </w:rPr>
        <w:t>购</w:t>
      </w:r>
      <w:r>
        <w:rPr>
          <w:rFonts w:hint="eastAsia"/>
          <w:b/>
          <w:sz w:val="28"/>
          <w:szCs w:val="28"/>
          <w:lang w:val="en-US" w:eastAsia="zh-CN"/>
        </w:rPr>
        <w:t xml:space="preserve"> </w:t>
      </w:r>
      <w:r>
        <w:rPr>
          <w:b/>
          <w:sz w:val="28"/>
          <w:szCs w:val="28"/>
        </w:rPr>
        <w:t>人：广州市</w:t>
      </w:r>
      <w:r>
        <w:rPr>
          <w:rFonts w:hint="eastAsia"/>
          <w:b/>
          <w:sz w:val="28"/>
          <w:szCs w:val="28"/>
          <w:lang w:val="en-US" w:eastAsia="zh-CN"/>
        </w:rPr>
        <w:t>人事服务中心</w:t>
      </w:r>
    </w:p>
    <w:p>
      <w:pPr>
        <w:ind w:firstLine="480"/>
      </w:pPr>
    </w:p>
    <w:p>
      <w:pPr>
        <w:ind w:firstLine="480"/>
      </w:pPr>
    </w:p>
    <w:p>
      <w:r>
        <w:t xml:space="preserve"> </w:t>
      </w:r>
    </w:p>
    <w:p/>
    <w:p>
      <w:pPr>
        <w:rPr>
          <w:b/>
          <w:sz w:val="36"/>
        </w:rPr>
      </w:pPr>
      <w:r>
        <w:rPr>
          <w:b/>
          <w:sz w:val="36"/>
        </w:rPr>
        <w:br w:type="page"/>
      </w:r>
    </w:p>
    <w:p>
      <w:pPr>
        <w:jc w:val="center"/>
      </w:pPr>
      <w:r>
        <w:rPr>
          <w:b/>
          <w:sz w:val="36"/>
        </w:rPr>
        <w:t>第一章</w:t>
      </w:r>
      <w:r>
        <w:rPr>
          <w:rFonts w:hint="eastAsia"/>
          <w:b/>
          <w:sz w:val="36"/>
          <w:lang w:val="en-US" w:eastAsia="zh-CN"/>
        </w:rPr>
        <w:t xml:space="preserve"> </w:t>
      </w:r>
      <w:r>
        <w:rPr>
          <w:b/>
          <w:sz w:val="36"/>
        </w:rPr>
        <w:t>投标邀请</w:t>
      </w:r>
    </w:p>
    <w:p>
      <w:pPr>
        <w:ind w:firstLine="480"/>
      </w:pPr>
      <w:r>
        <w:t>广州市</w:t>
      </w:r>
      <w:r>
        <w:rPr>
          <w:rFonts w:hint="eastAsia"/>
          <w:lang w:val="en-US" w:eastAsia="zh-CN"/>
        </w:rPr>
        <w:t>人事服务中心拟</w:t>
      </w:r>
      <w:r>
        <w:t>采用</w:t>
      </w:r>
      <w:r>
        <w:rPr>
          <w:rFonts w:hint="eastAsia"/>
          <w:lang w:val="en-US" w:eastAsia="zh-CN"/>
        </w:rPr>
        <w:t>内部评标的</w:t>
      </w:r>
      <w:r>
        <w:t>方式组织采购2023年度干部职工健康体检休养项目。欢迎符合资格条件的供应商参加投标。</w:t>
      </w:r>
    </w:p>
    <w:p>
      <w:r>
        <w:rPr>
          <w:b/>
          <w:sz w:val="28"/>
        </w:rPr>
        <w:t>一.项目概述</w:t>
      </w:r>
    </w:p>
    <w:p>
      <w:r>
        <w:rPr>
          <w:b/>
          <w:sz w:val="24"/>
        </w:rPr>
        <w:t>1.名称与编号</w:t>
      </w:r>
    </w:p>
    <w:p>
      <w:pPr>
        <w:ind w:firstLine="480"/>
      </w:pPr>
      <w:r>
        <w:t>项目名称：广州市</w:t>
      </w:r>
      <w:r>
        <w:rPr>
          <w:rFonts w:hint="eastAsia"/>
          <w:lang w:val="en-US" w:eastAsia="zh-CN"/>
        </w:rPr>
        <w:t>人事服务中心</w:t>
      </w:r>
      <w:r>
        <w:t>2023年度干部职工健康体检休养项目</w:t>
      </w:r>
    </w:p>
    <w:p>
      <w:pPr>
        <w:ind w:firstLine="480"/>
        <w:rPr>
          <w:rFonts w:hint="default" w:eastAsiaTheme="minorEastAsia"/>
          <w:lang w:val="en-US" w:eastAsia="zh-CN"/>
        </w:rPr>
      </w:pPr>
      <w:r>
        <w:t>采购方式：</w:t>
      </w:r>
      <w:r>
        <w:rPr>
          <w:rFonts w:hint="eastAsia"/>
          <w:lang w:val="en-US" w:eastAsia="zh-CN"/>
        </w:rPr>
        <w:t>内部评标</w:t>
      </w:r>
    </w:p>
    <w:p>
      <w:pPr>
        <w:ind w:firstLine="480"/>
      </w:pPr>
      <w:r>
        <w:t>预算金额：</w:t>
      </w:r>
      <w:r>
        <w:rPr>
          <w:rFonts w:hint="eastAsia"/>
          <w:lang w:val="en-US" w:eastAsia="zh-CN"/>
        </w:rPr>
        <w:t>362,360</w:t>
      </w:r>
      <w:r>
        <w:t>.00元</w:t>
      </w:r>
    </w:p>
    <w:p>
      <w:r>
        <w:rPr>
          <w:b/>
          <w:sz w:val="24"/>
        </w:rPr>
        <w:t>2.项目内容及需求情况（采购项目技术规格、参数及要求）</w:t>
      </w:r>
    </w:p>
    <w:p>
      <w:pPr>
        <w:ind w:firstLine="480"/>
      </w:pPr>
    </w:p>
    <w:p/>
    <w:p>
      <w:r>
        <w:t>采购包1(在编干部职工</w:t>
      </w:r>
      <w:r>
        <w:rPr>
          <w:rFonts w:hint="eastAsia"/>
          <w:lang w:val="en-US" w:eastAsia="zh-CN"/>
        </w:rPr>
        <w:t>及合同人员</w:t>
      </w:r>
      <w:r>
        <w:t>休养体检服务):</w:t>
      </w:r>
    </w:p>
    <w:p>
      <w:r>
        <w:t>采购包预算金额：</w:t>
      </w:r>
      <w:r>
        <w:rPr>
          <w:rFonts w:hint="eastAsia"/>
          <w:lang w:val="en-US" w:eastAsia="zh-CN"/>
        </w:rPr>
        <w:t>212490</w:t>
      </w:r>
      <w:r>
        <w:rPr>
          <w:highlight w:val="none"/>
        </w:rPr>
        <w:t>.</w:t>
      </w:r>
      <w:r>
        <w:rPr>
          <w:highlight w:val="none"/>
        </w:rPr>
        <w:t>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品目号</w:t>
            </w:r>
          </w:p>
        </w:tc>
        <w:tc>
          <w:tcPr>
            <w:tcW w:w="1424" w:type="dxa"/>
          </w:tcPr>
          <w:p>
            <w:r>
              <w:t>品目名称</w:t>
            </w:r>
          </w:p>
        </w:tc>
        <w:tc>
          <w:tcPr>
            <w:tcW w:w="2136" w:type="dxa"/>
          </w:tcPr>
          <w:p>
            <w:r>
              <w:t>采购标的</w:t>
            </w:r>
          </w:p>
        </w:tc>
        <w:tc>
          <w:tcPr>
            <w:tcW w:w="1187" w:type="dxa"/>
          </w:tcPr>
          <w:p>
            <w:r>
              <w:t>数量（单位）</w:t>
            </w:r>
          </w:p>
        </w:tc>
        <w:tc>
          <w:tcPr>
            <w:tcW w:w="1187" w:type="dxa"/>
          </w:tcPr>
          <w:p>
            <w:r>
              <w:t>技术规格、参数及要求</w:t>
            </w:r>
          </w:p>
        </w:tc>
        <w:tc>
          <w:tcPr>
            <w:tcW w:w="118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1-1</w:t>
            </w:r>
          </w:p>
        </w:tc>
        <w:tc>
          <w:tcPr>
            <w:tcW w:w="1424" w:type="dxa"/>
          </w:tcPr>
          <w:p>
            <w:r>
              <w:t>体检服务</w:t>
            </w:r>
          </w:p>
        </w:tc>
        <w:tc>
          <w:tcPr>
            <w:tcW w:w="2136" w:type="dxa"/>
          </w:tcPr>
          <w:p>
            <w:r>
              <w:t>在编干部职工</w:t>
            </w:r>
            <w:r>
              <w:rPr>
                <w:rFonts w:hint="eastAsia"/>
                <w:lang w:val="en-US" w:eastAsia="zh-CN"/>
              </w:rPr>
              <w:t>及合同人员</w:t>
            </w:r>
            <w:r>
              <w:t>休养体检服务</w:t>
            </w:r>
          </w:p>
        </w:tc>
        <w:tc>
          <w:tcPr>
            <w:tcW w:w="1187" w:type="dxa"/>
          </w:tcPr>
          <w:p>
            <w:r>
              <w:t>1.00(项)</w:t>
            </w:r>
          </w:p>
        </w:tc>
        <w:tc>
          <w:tcPr>
            <w:tcW w:w="1187" w:type="dxa"/>
          </w:tcPr>
          <w:p>
            <w:r>
              <w:t>详见第二章</w:t>
            </w:r>
          </w:p>
        </w:tc>
        <w:tc>
          <w:tcPr>
            <w:tcW w:w="1187" w:type="dxa"/>
          </w:tcPr>
          <w:p>
            <w:r>
              <w:t>否</w:t>
            </w:r>
          </w:p>
        </w:tc>
      </w:tr>
    </w:tbl>
    <w:p/>
    <w:p>
      <w:r>
        <w:t>本采购包不接受联合体投标</w:t>
      </w:r>
    </w:p>
    <w:p/>
    <w:p>
      <w:r>
        <w:t>合同履行期限：合同签订后至服务内容全部结束时间止。</w:t>
      </w:r>
    </w:p>
    <w:p/>
    <w:p>
      <w:r>
        <w:t>采购包2(在编干部职工</w:t>
      </w:r>
      <w:r>
        <w:rPr>
          <w:rFonts w:hint="eastAsia"/>
          <w:lang w:eastAsia="zh-CN"/>
        </w:rPr>
        <w:t>、</w:t>
      </w:r>
      <w:r>
        <w:rPr>
          <w:rFonts w:hint="eastAsia"/>
          <w:lang w:val="en-US" w:eastAsia="zh-CN"/>
        </w:rPr>
        <w:t>合同人员及</w:t>
      </w:r>
      <w:r>
        <w:t>退休人员体检服务):</w:t>
      </w:r>
    </w:p>
    <w:p>
      <w:r>
        <w:t>采购包预算金额：</w:t>
      </w:r>
      <w:r>
        <w:rPr>
          <w:rFonts w:hint="eastAsia"/>
          <w:lang w:val="en-US" w:eastAsia="zh-CN"/>
        </w:rPr>
        <w:t>149870</w:t>
      </w:r>
      <w:r>
        <w:rPr>
          <w:highlight w:val="none"/>
        </w:rPr>
        <w:t>.00元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r>
              <w:t>品目号</w:t>
            </w:r>
          </w:p>
        </w:tc>
        <w:tc>
          <w:tcPr>
            <w:tcW w:w="1424" w:type="dxa"/>
          </w:tcPr>
          <w:p>
            <w:r>
              <w:t>品目名称</w:t>
            </w:r>
          </w:p>
        </w:tc>
        <w:tc>
          <w:tcPr>
            <w:tcW w:w="2136" w:type="dxa"/>
          </w:tcPr>
          <w:p>
            <w:r>
              <w:t>采购标的</w:t>
            </w:r>
          </w:p>
        </w:tc>
        <w:tc>
          <w:tcPr>
            <w:tcW w:w="1187" w:type="dxa"/>
          </w:tcPr>
          <w:p>
            <w:r>
              <w:t>数量（单位）</w:t>
            </w:r>
          </w:p>
        </w:tc>
        <w:tc>
          <w:tcPr>
            <w:tcW w:w="1187" w:type="dxa"/>
          </w:tcPr>
          <w:p>
            <w:r>
              <w:t>技术规格、参数及要求</w:t>
            </w:r>
          </w:p>
        </w:tc>
        <w:tc>
          <w:tcPr>
            <w:tcW w:w="118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2-1</w:t>
            </w:r>
          </w:p>
        </w:tc>
        <w:tc>
          <w:tcPr>
            <w:tcW w:w="1424" w:type="dxa"/>
          </w:tcPr>
          <w:p>
            <w:r>
              <w:t>体检服务</w:t>
            </w:r>
          </w:p>
        </w:tc>
        <w:tc>
          <w:tcPr>
            <w:tcW w:w="2136" w:type="dxa"/>
          </w:tcPr>
          <w:p>
            <w:r>
              <w:t>在编干部职工</w:t>
            </w:r>
            <w:r>
              <w:rPr>
                <w:rFonts w:hint="eastAsia"/>
                <w:lang w:eastAsia="zh-CN"/>
              </w:rPr>
              <w:t>、</w:t>
            </w:r>
            <w:r>
              <w:rPr>
                <w:rFonts w:hint="eastAsia"/>
                <w:lang w:val="en-US" w:eastAsia="zh-CN"/>
              </w:rPr>
              <w:t>合同人员及</w:t>
            </w:r>
            <w:r>
              <w:t>退休人员体检服务</w:t>
            </w:r>
          </w:p>
        </w:tc>
        <w:tc>
          <w:tcPr>
            <w:tcW w:w="1187" w:type="dxa"/>
          </w:tcPr>
          <w:p>
            <w:r>
              <w:t>1.00(项)</w:t>
            </w:r>
          </w:p>
        </w:tc>
        <w:tc>
          <w:tcPr>
            <w:tcW w:w="1187" w:type="dxa"/>
          </w:tcPr>
          <w:p>
            <w:r>
              <w:t>详见第二章</w:t>
            </w:r>
          </w:p>
        </w:tc>
        <w:tc>
          <w:tcPr>
            <w:tcW w:w="1187" w:type="dxa"/>
          </w:tcPr>
          <w:p>
            <w:r>
              <w:t>否</w:t>
            </w:r>
          </w:p>
        </w:tc>
      </w:tr>
    </w:tbl>
    <w:p/>
    <w:p>
      <w:r>
        <w:t>本采购包不接受联合体投标</w:t>
      </w:r>
    </w:p>
    <w:p/>
    <w:p>
      <w:r>
        <w:t>合同履行期限：合同签订后至服务内容全部结束时间止。</w:t>
      </w:r>
    </w:p>
    <w:p/>
    <w:p>
      <w:r>
        <w:rPr>
          <w:b/>
          <w:sz w:val="28"/>
        </w:rPr>
        <w:t>二.投标人的资格要求</w:t>
      </w:r>
    </w:p>
    <w:p>
      <w:r>
        <w:rPr>
          <w:b/>
          <w:sz w:val="24"/>
        </w:rPr>
        <w:t>1.投标人应具备《中华人民共和国政府采购法》第二十二条规定的条件，提供下列材料：</w:t>
      </w:r>
    </w:p>
    <w:p>
      <w:pPr>
        <w:ind w:firstLine="480"/>
      </w:pPr>
    </w:p>
    <w:p/>
    <w:p>
      <w:r>
        <w:t>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p/>
    <w:p>
      <w:r>
        <w:t>2）有依法缴纳税收和社会保障资金的良好记录：提供声明函，格式自拟。</w:t>
      </w:r>
    </w:p>
    <w:p/>
    <w:p>
      <w:r>
        <w:t>3）具有良好的商业信誉和健全的财务会计制度：提供声明函，格式自拟。</w:t>
      </w:r>
    </w:p>
    <w:p/>
    <w:p>
      <w:r>
        <w:t>4）履行合同所必需的设备和专业技术能力：提供声明函或按投标文件格式填报设备及专业技术能力情况。</w:t>
      </w:r>
    </w:p>
    <w:p/>
    <w:p>
      <w:r>
        <w:t>5）参加采购活动前3年内，在经营活动中没有重大违法记录：在经营活动中没有重大违法记录：参照投标函相关承诺格式内容。【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w:t>
      </w:r>
    </w:p>
    <w:p/>
    <w:p>
      <w:r>
        <w:rPr>
          <w:b/>
          <w:sz w:val="24"/>
        </w:rPr>
        <w:t>2.落实政府采购政策需满足的资格要求：</w:t>
      </w:r>
    </w:p>
    <w:p>
      <w:pPr>
        <w:jc w:val="left"/>
        <w:rPr>
          <w:highlight w:val="none"/>
        </w:rPr>
      </w:pPr>
    </w:p>
    <w:p>
      <w:pPr>
        <w:rPr>
          <w:highlight w:val="none"/>
        </w:rPr>
      </w:pPr>
      <w:r>
        <w:rPr>
          <w:highlight w:val="none"/>
        </w:rPr>
        <w:t>采购包1（</w:t>
      </w:r>
      <w:r>
        <w:rPr>
          <w:rFonts w:hint="eastAsia"/>
          <w:highlight w:val="none"/>
        </w:rPr>
        <w:t>在编干部职工及合同人员休养体检服务</w:t>
      </w:r>
      <w:r>
        <w:rPr>
          <w:highlight w:val="none"/>
        </w:rPr>
        <w:t>）：本采购包不属于专门面向中小企业采购的项目。</w:t>
      </w:r>
    </w:p>
    <w:p>
      <w:pPr>
        <w:jc w:val="left"/>
        <w:rPr>
          <w:highlight w:val="none"/>
        </w:rPr>
      </w:pPr>
    </w:p>
    <w:p>
      <w:pPr>
        <w:rPr>
          <w:highlight w:val="none"/>
        </w:rPr>
      </w:pPr>
      <w:r>
        <w:rPr>
          <w:highlight w:val="none"/>
        </w:rPr>
        <w:t>采购包2（</w:t>
      </w:r>
      <w:r>
        <w:rPr>
          <w:rFonts w:hint="eastAsia"/>
          <w:highlight w:val="none"/>
        </w:rPr>
        <w:t>(在编干部职工、合同人员及退休人员体检服务</w:t>
      </w:r>
      <w:r>
        <w:rPr>
          <w:highlight w:val="none"/>
        </w:rPr>
        <w:t>）：本采购包不属于专门面向中小企业采购的项目。</w:t>
      </w:r>
    </w:p>
    <w:p/>
    <w:p>
      <w:r>
        <w:rPr>
          <w:b/>
          <w:sz w:val="24"/>
        </w:rPr>
        <w:t>3.本项目特定的资格要求：</w:t>
      </w:r>
    </w:p>
    <w:p/>
    <w:p>
      <w:r>
        <w:t>采购包1（</w:t>
      </w:r>
      <w:r>
        <w:rPr>
          <w:rFonts w:hint="eastAsia"/>
        </w:rPr>
        <w:t>在编干部职工及合同人员休养体检服务</w:t>
      </w:r>
      <w:r>
        <w:t>）：</w:t>
      </w:r>
    </w:p>
    <w:p/>
    <w:p>
      <w:r>
        <w:t>1)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
      <w:r>
        <w:t>2)单位负责人为同一人或者存在直接控股、管理关系的不同供应商，不得同时参加本采购项目（或采购包）投标。为本项目提供整体设计、规范编制或者项目管理、监理、检测等服务的供应商，不得再参与本项目投标。（投标函相关承诺要求内容。）</w:t>
      </w:r>
    </w:p>
    <w:p/>
    <w:p>
      <w:r>
        <w:t>3)供应商应具有卫生行政主管部门颁发的《医疗机构执业许可证》；</w:t>
      </w:r>
    </w:p>
    <w:p/>
    <w:p>
      <w:r>
        <w:t>4)要求供应商为非营利性医疗机构；（提供声明函）</w:t>
      </w:r>
    </w:p>
    <w:p/>
    <w:p>
      <w:r>
        <w:t>5)本项目不接受联合体投标。</w:t>
      </w:r>
    </w:p>
    <w:p/>
    <w:p>
      <w:r>
        <w:t>采购包2（</w:t>
      </w:r>
      <w:r>
        <w:rPr>
          <w:rFonts w:hint="eastAsia"/>
        </w:rPr>
        <w:t>在编干部职工、合同人员及退休人员体检服务</w:t>
      </w:r>
      <w:r>
        <w:t>）：</w:t>
      </w:r>
    </w:p>
    <w:p/>
    <w:p>
      <w:r>
        <w:t>1)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
      <w:r>
        <w:t>2)单位负责人为同一人或者存在直接控股、管理关系的不同供应商，不得同时参加本采购项目（或采购包）投标。为本项目提供整体设计、规范编制或者项目管理、监理、检测等服务的供应商，不得再参与本项目投标。（投标函相关承诺要求内容。）</w:t>
      </w:r>
    </w:p>
    <w:p/>
    <w:p>
      <w:r>
        <w:t>3)供应商应具有卫生行政主管部门颁发的《医疗机构执业许可证》；</w:t>
      </w:r>
    </w:p>
    <w:p/>
    <w:p>
      <w:r>
        <w:t>4)本项目不接受联合体投标。</w:t>
      </w:r>
    </w:p>
    <w:p/>
    <w:p>
      <w:r>
        <w:rPr>
          <w:b/>
          <w:sz w:val="28"/>
        </w:rPr>
        <w:t>三.获取招标文件</w:t>
      </w:r>
    </w:p>
    <w:p>
      <w:pPr>
        <w:ind w:firstLine="480"/>
        <w:rPr>
          <w:highlight w:val="none"/>
        </w:rPr>
      </w:pPr>
      <w:r>
        <w:rPr>
          <w:highlight w:val="none"/>
        </w:rPr>
        <w:t>时间：详见招标公告及其变更公告（如有）</w:t>
      </w:r>
    </w:p>
    <w:p>
      <w:pPr>
        <w:ind w:firstLine="480"/>
        <w:rPr>
          <w:highlight w:val="none"/>
        </w:rPr>
      </w:pPr>
      <w:r>
        <w:rPr>
          <w:highlight w:val="none"/>
        </w:rPr>
        <w:t>地点：详见招标公告及其变更公告（如有）</w:t>
      </w:r>
    </w:p>
    <w:p>
      <w:pPr>
        <w:ind w:firstLine="480"/>
      </w:pPr>
      <w:r>
        <w:t>获取方式：在线获取。供应商应从</w:t>
      </w:r>
      <w:r>
        <w:rPr>
          <w:rFonts w:hint="eastAsia"/>
          <w:lang w:val="en-US" w:eastAsia="zh-CN"/>
        </w:rPr>
        <w:t>广州市人力资源和社会保障局</w:t>
      </w:r>
      <w:r>
        <w:t>（</w:t>
      </w:r>
      <w:r>
        <w:rPr>
          <w:rFonts w:hint="eastAsia"/>
        </w:rPr>
        <w:t>http://rsj.gz.gov.cn/</w:t>
      </w:r>
      <w:r>
        <w:t>）上在线获取招标文件。</w:t>
      </w:r>
    </w:p>
    <w:p>
      <w:pPr>
        <w:ind w:firstLine="480"/>
      </w:pPr>
      <w:r>
        <w:t>售价：免费</w:t>
      </w:r>
    </w:p>
    <w:p>
      <w:r>
        <w:rPr>
          <w:b/>
          <w:sz w:val="28"/>
        </w:rPr>
        <w:t>四.提交投标文件截止时间、开标时间和地点：</w:t>
      </w:r>
    </w:p>
    <w:p>
      <w:pPr>
        <w:ind w:firstLine="480"/>
        <w:rPr>
          <w:highlight w:val="none"/>
        </w:rPr>
      </w:pPr>
      <w:r>
        <w:rPr>
          <w:highlight w:val="none"/>
        </w:rPr>
        <w:t>提交投标文件截止时间和开标时间：详见招标公告及其变更公告（如有）</w:t>
      </w:r>
    </w:p>
    <w:p>
      <w:pPr>
        <w:ind w:firstLine="480"/>
        <w:rPr>
          <w:highlight w:val="none"/>
        </w:rPr>
      </w:pPr>
      <w:r>
        <w:rPr>
          <w:highlight w:val="none"/>
        </w:rPr>
        <w:t>（自招标文件开始发出之日起至投标人提交投标文件截止之日止，不得少于</w:t>
      </w:r>
      <w:r>
        <w:rPr>
          <w:rFonts w:hint="eastAsia"/>
          <w:highlight w:val="none"/>
          <w:lang w:val="en-US" w:eastAsia="zh-CN"/>
        </w:rPr>
        <w:t>5个工作</w:t>
      </w:r>
      <w:r>
        <w:rPr>
          <w:highlight w:val="none"/>
        </w:rPr>
        <w:t>日）</w:t>
      </w:r>
    </w:p>
    <w:p>
      <w:pPr>
        <w:ind w:firstLine="480"/>
        <w:rPr>
          <w:highlight w:val="none"/>
        </w:rPr>
      </w:pPr>
      <w:r>
        <w:rPr>
          <w:highlight w:val="none"/>
        </w:rPr>
        <w:t>地点：详见招标公告及其变更公告（如有）</w:t>
      </w:r>
    </w:p>
    <w:p>
      <w:r>
        <w:rPr>
          <w:b/>
          <w:sz w:val="28"/>
        </w:rPr>
        <w:t>五.公告期限、发布公告的媒介：</w:t>
      </w:r>
    </w:p>
    <w:p>
      <w:pPr>
        <w:ind w:firstLine="480"/>
        <w:rPr>
          <w:highlight w:val="none"/>
        </w:rPr>
      </w:pPr>
      <w:r>
        <w:rPr>
          <w:highlight w:val="none"/>
        </w:rPr>
        <w:t>1、公告期限：自本公告发布之日起不得少于</w:t>
      </w:r>
      <w:r>
        <w:rPr>
          <w:rFonts w:hint="eastAsia"/>
          <w:highlight w:val="none"/>
          <w:lang w:val="en-US" w:eastAsia="zh-CN"/>
        </w:rPr>
        <w:t>5</w:t>
      </w:r>
      <w:r>
        <w:rPr>
          <w:highlight w:val="none"/>
        </w:rPr>
        <w:t>个工作日。</w:t>
      </w:r>
    </w:p>
    <w:p>
      <w:pPr>
        <w:ind w:firstLine="480"/>
      </w:pPr>
      <w:r>
        <w:t>2、发布公告的媒介：</w:t>
      </w:r>
      <w:r>
        <w:rPr>
          <w:rFonts w:hint="eastAsia"/>
        </w:rPr>
        <w:t>广州市人力资源和社会保障局（http://rsj.gz.gov.cn/）</w:t>
      </w:r>
      <w:r>
        <w:t>。</w:t>
      </w:r>
    </w:p>
    <w:p>
      <w:r>
        <w:rPr>
          <w:b/>
          <w:sz w:val="28"/>
        </w:rPr>
        <w:t>六.本项目联系方式：</w:t>
      </w:r>
    </w:p>
    <w:p>
      <w:r>
        <w:rPr>
          <w:b/>
          <w:sz w:val="24"/>
        </w:rPr>
        <w:t>采购人信息</w:t>
      </w:r>
    </w:p>
    <w:p>
      <w:pPr>
        <w:ind w:firstLine="480"/>
        <w:rPr>
          <w:rFonts w:hint="default" w:eastAsiaTheme="minorEastAsia"/>
          <w:lang w:val="en-US" w:eastAsia="zh-CN"/>
        </w:rPr>
      </w:pPr>
      <w:r>
        <w:t>名称：广州市</w:t>
      </w:r>
      <w:r>
        <w:rPr>
          <w:rFonts w:hint="eastAsia"/>
          <w:lang w:val="en-US" w:eastAsia="zh-CN"/>
        </w:rPr>
        <w:t>人事服务中心</w:t>
      </w:r>
    </w:p>
    <w:p>
      <w:pPr>
        <w:ind w:firstLine="480"/>
        <w:rPr>
          <w:rFonts w:hint="default" w:eastAsiaTheme="minorEastAsia"/>
          <w:lang w:val="en-US" w:eastAsia="zh-CN"/>
        </w:rPr>
      </w:pPr>
      <w:r>
        <w:t>地址：广州市</w:t>
      </w:r>
      <w:r>
        <w:rPr>
          <w:rFonts w:hint="eastAsia"/>
          <w:lang w:val="en-US" w:eastAsia="zh-CN"/>
        </w:rPr>
        <w:t>越秀区小北路266号</w:t>
      </w:r>
    </w:p>
    <w:p>
      <w:pPr>
        <w:ind w:firstLine="480"/>
      </w:pPr>
      <w:r>
        <w:t>联系方式：020-</w:t>
      </w:r>
      <w:r>
        <w:rPr>
          <w:rFonts w:hint="eastAsia"/>
          <w:lang w:val="en-US" w:eastAsia="zh-CN"/>
        </w:rPr>
        <w:t>83556275</w:t>
      </w:r>
    </w:p>
    <w:p>
      <w:pPr>
        <w:jc w:val="center"/>
      </w:pPr>
      <w:r>
        <w:t xml:space="preserve"> </w:t>
      </w:r>
    </w:p>
    <w:p>
      <w:pPr>
        <w:jc w:val="center"/>
      </w:pPr>
      <w:bookmarkStart w:id="0" w:name="_GoBack"/>
      <w:bookmarkEnd w:id="0"/>
      <w:r>
        <w:rPr>
          <w:b/>
          <w:sz w:val="36"/>
        </w:rPr>
        <w:t>第二章 采购需求</w:t>
      </w:r>
    </w:p>
    <w:p>
      <w:r>
        <w:rPr>
          <w:b/>
          <w:sz w:val="28"/>
        </w:rPr>
        <w:t>一、项目概况：</w:t>
      </w:r>
    </w:p>
    <w:p>
      <w:pPr>
        <w:ind w:firstLine="480"/>
      </w:pPr>
      <w:r>
        <w:rPr>
          <w:color w:val="000000"/>
          <w:sz w:val="24"/>
        </w:rPr>
        <w:t>1.投标人必须对本项目以采购包为单位进行整体投标，不允许只对其中部分内容进行投标报价。如有缺漏或超出最高采购限价（包括套餐单价和总价），将导致投标无效。可兼投但不可兼中，中标顺序为先采购包一后采购包二。</w:t>
      </w:r>
    </w:p>
    <w:p>
      <w:pPr>
        <w:ind w:firstLine="480"/>
      </w:pPr>
      <w:r>
        <w:rPr>
          <w:color w:val="000000"/>
          <w:sz w:val="24"/>
        </w:rPr>
        <w:t>2.用户需求书中打“▲”号条款（如有）为重要技术参数，但不作为无效投标条款。</w:t>
      </w:r>
    </w:p>
    <w:p>
      <w:pPr>
        <w:ind w:firstLine="480"/>
      </w:pPr>
      <w:r>
        <w:rPr>
          <w:color w:val="000000"/>
          <w:sz w:val="24"/>
        </w:rPr>
        <w:t>3.用户需求书中打“★”号条款（如有）为实质性条款，投标人如有任何一条负偏离或未响应则导致投标无效。</w:t>
      </w:r>
    </w:p>
    <w:p>
      <w:r>
        <w:t>采购包1（</w:t>
      </w:r>
      <w:r>
        <w:rPr>
          <w:rFonts w:hint="eastAsia"/>
        </w:rPr>
        <w:t>在编干部职工及合同人员休养体检服务</w:t>
      </w:r>
      <w:r>
        <w:t>）</w:t>
      </w:r>
    </w:p>
    <w:p>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标的提供的时间</w:t>
            </w:r>
          </w:p>
        </w:tc>
        <w:tc>
          <w:tcPr>
            <w:tcW w:w="4153" w:type="dxa"/>
          </w:tcPr>
          <w:p>
            <w:r>
              <w:t>合同签订后至服务内容全部结束时间止。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标的提供的地点</w:t>
            </w:r>
          </w:p>
        </w:tc>
        <w:tc>
          <w:tcPr>
            <w:tcW w:w="4153" w:type="dxa"/>
          </w:tcPr>
          <w:p>
            <w:r>
              <w:t>广州市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付款方式</w:t>
            </w:r>
          </w:p>
        </w:tc>
        <w:tc>
          <w:tcPr>
            <w:tcW w:w="4153" w:type="dxa"/>
          </w:tcPr>
          <w:p>
            <w:r>
              <w:rPr>
                <w:highlight w:val="none"/>
              </w:rPr>
              <w:t>服务期结束后的</w:t>
            </w:r>
            <w:r>
              <w:rPr>
                <w:rFonts w:hint="eastAsia"/>
                <w:highlight w:val="none"/>
                <w:lang w:val="en-US" w:eastAsia="zh-CN"/>
              </w:rPr>
              <w:t>15</w:t>
            </w:r>
            <w:r>
              <w:rPr>
                <w:highlight w:val="none"/>
              </w:rPr>
              <w:t>个工作日内，中标人向采购人提供完成的体检人数结算表及整体体检情况报告，采购人审核确认后</w:t>
            </w:r>
            <w:r>
              <w:rPr>
                <w:rFonts w:hint="eastAsia"/>
                <w:highlight w:val="none"/>
                <w:lang w:val="en-US" w:eastAsia="zh-CN"/>
              </w:rPr>
              <w:t>3</w:t>
            </w:r>
            <w:r>
              <w:rPr>
                <w:highlight w:val="none"/>
              </w:rPr>
              <w:t>0个工作日内一次性向中标人办理体检费用的支付手续。中标人凭以下有效文件与采购人结算：（1）合同；（2）中标人开具的正式发票；（3）费用结算清单（由中标人提供结算清单，由采购人确认并加盖公章）；（4）中标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验收要求</w:t>
            </w:r>
          </w:p>
        </w:tc>
        <w:tc>
          <w:tcPr>
            <w:tcW w:w="4153" w:type="dxa"/>
          </w:tcPr>
          <w:p>
            <w:r>
              <w:t>1期：所有服务完成后，采购人根据中标人的履约情况按照合同条款进行验收。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履约保证金</w:t>
            </w:r>
          </w:p>
        </w:tc>
        <w:tc>
          <w:tcPr>
            <w:tcW w:w="4153" w:type="dxa"/>
          </w:tcPr>
          <w:p>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其他</w:t>
            </w:r>
          </w:p>
        </w:tc>
        <w:tc>
          <w:tcPr>
            <w:tcW w:w="4153" w:type="dxa"/>
          </w:tcPr>
          <w:p>
            <w:pPr>
              <w:numPr>
                <w:ilvl w:val="0"/>
                <w:numId w:val="1"/>
              </w:numPr>
            </w:pPr>
            <w:r>
              <w:t>报价要求，1、供应商报价应包括完成该体检项目所需的一切费用（含一次性消耗用品费、检查仪器费、检测费、人工费、食宿费等），漏报或少报的费用，视此费用已包含在汇总价格、投标总价中。</w:t>
            </w:r>
          </w:p>
          <w:p>
            <w:pPr>
              <w:numPr>
                <w:ilvl w:val="0"/>
                <w:numId w:val="0"/>
              </w:numPr>
            </w:pPr>
            <w:r>
              <w:t xml:space="preserve"> 2、要求各投标人报出各体检套餐总价及按计划人数的总投标报价。结算时按实际体检人数及套餐金额进行结算。</w:t>
            </w:r>
          </w:p>
        </w:tc>
      </w:tr>
    </w:tbl>
    <w:p>
      <w:pPr>
        <w:rPr>
          <w:b/>
        </w:rPr>
      </w:pPr>
    </w:p>
    <w:p>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5"/>
        <w:gridCol w:w="1249"/>
        <w:gridCol w:w="1365"/>
        <w:gridCol w:w="900"/>
        <w:gridCol w:w="765"/>
        <w:gridCol w:w="1635"/>
        <w:gridCol w:w="14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05" w:type="dxa"/>
          </w:tcPr>
          <w:p>
            <w:pPr>
              <w:jc w:val="center"/>
            </w:pPr>
            <w:r>
              <w:t>序号</w:t>
            </w:r>
          </w:p>
        </w:tc>
        <w:tc>
          <w:tcPr>
            <w:tcW w:w="1249" w:type="dxa"/>
          </w:tcPr>
          <w:p>
            <w:pPr>
              <w:jc w:val="center"/>
            </w:pPr>
            <w:r>
              <w:t>品目名称</w:t>
            </w:r>
          </w:p>
        </w:tc>
        <w:tc>
          <w:tcPr>
            <w:tcW w:w="1365" w:type="dxa"/>
          </w:tcPr>
          <w:p>
            <w:pPr>
              <w:jc w:val="center"/>
            </w:pPr>
            <w:r>
              <w:t>标的名称</w:t>
            </w:r>
          </w:p>
        </w:tc>
        <w:tc>
          <w:tcPr>
            <w:tcW w:w="900" w:type="dxa"/>
          </w:tcPr>
          <w:p>
            <w:pPr>
              <w:jc w:val="center"/>
            </w:pPr>
            <w:r>
              <w:t>单位</w:t>
            </w:r>
          </w:p>
        </w:tc>
        <w:tc>
          <w:tcPr>
            <w:tcW w:w="765" w:type="dxa"/>
          </w:tcPr>
          <w:p>
            <w:pPr>
              <w:jc w:val="center"/>
            </w:pPr>
            <w:r>
              <w:t>数量</w:t>
            </w:r>
          </w:p>
        </w:tc>
        <w:tc>
          <w:tcPr>
            <w:tcW w:w="1635" w:type="dxa"/>
          </w:tcPr>
          <w:p>
            <w:r>
              <w:t>所属行业</w:t>
            </w:r>
          </w:p>
        </w:tc>
        <w:tc>
          <w:tcPr>
            <w:tcW w:w="1485" w:type="dxa"/>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jc w:val="center"/>
            </w:pPr>
            <w:r>
              <w:t>1</w:t>
            </w:r>
          </w:p>
        </w:tc>
        <w:tc>
          <w:tcPr>
            <w:tcW w:w="1249" w:type="dxa"/>
          </w:tcPr>
          <w:p>
            <w:pPr>
              <w:jc w:val="left"/>
            </w:pPr>
            <w:r>
              <w:t>体检服务</w:t>
            </w:r>
          </w:p>
        </w:tc>
        <w:tc>
          <w:tcPr>
            <w:tcW w:w="1365" w:type="dxa"/>
          </w:tcPr>
          <w:p>
            <w:pPr>
              <w:jc w:val="left"/>
            </w:pPr>
            <w:r>
              <w:rPr>
                <w:rFonts w:hint="eastAsia"/>
              </w:rPr>
              <w:t>在编干部职工及合同人员休养体检服务</w:t>
            </w:r>
          </w:p>
        </w:tc>
        <w:tc>
          <w:tcPr>
            <w:tcW w:w="900" w:type="dxa"/>
          </w:tcPr>
          <w:p>
            <w:pPr>
              <w:jc w:val="left"/>
            </w:pPr>
            <w:r>
              <w:t>项</w:t>
            </w:r>
          </w:p>
        </w:tc>
        <w:tc>
          <w:tcPr>
            <w:tcW w:w="765" w:type="dxa"/>
          </w:tcPr>
          <w:p>
            <w:pPr>
              <w:jc w:val="right"/>
            </w:pPr>
            <w:r>
              <w:t>1.00</w:t>
            </w:r>
          </w:p>
        </w:tc>
        <w:tc>
          <w:tcPr>
            <w:tcW w:w="1635" w:type="dxa"/>
          </w:tcPr>
          <w:p>
            <w:r>
              <w:t>其他未列明行业</w:t>
            </w:r>
          </w:p>
        </w:tc>
        <w:tc>
          <w:tcPr>
            <w:tcW w:w="1485" w:type="dxa"/>
          </w:tcPr>
          <w:p>
            <w:r>
              <w:t>详见附表一</w:t>
            </w:r>
          </w:p>
        </w:tc>
      </w:tr>
    </w:tbl>
    <w:p/>
    <w:p>
      <w:pPr>
        <w:rPr>
          <w:b/>
        </w:rPr>
      </w:pPr>
    </w:p>
    <w:p>
      <w:r>
        <w:rPr>
          <w:b/>
        </w:rPr>
        <w:t>附表一：在编干部职工</w:t>
      </w:r>
      <w:r>
        <w:rPr>
          <w:rFonts w:hint="eastAsia"/>
          <w:b/>
          <w:lang w:val="en-US" w:eastAsia="zh-CN"/>
        </w:rPr>
        <w:t>及合同人员</w:t>
      </w:r>
      <w:r>
        <w:rPr>
          <w:b/>
        </w:rPr>
        <w:t>休养体检服务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r>
              <w:t>参数性质</w:t>
            </w:r>
          </w:p>
        </w:tc>
        <w:tc>
          <w:tcPr>
            <w:tcW w:w="426" w:type="dxa"/>
          </w:tcPr>
          <w:p>
            <w:r>
              <w:t>序号</w:t>
            </w:r>
          </w:p>
        </w:tc>
        <w:tc>
          <w:tcPr>
            <w:tcW w:w="581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26" w:type="dxa"/>
          </w:tcPr>
          <w:p>
            <w:r>
              <w:t>1</w:t>
            </w:r>
          </w:p>
        </w:tc>
        <w:tc>
          <w:tcPr>
            <w:tcW w:w="5814" w:type="dxa"/>
          </w:tcPr>
          <w:p>
            <w:r>
              <w:rPr>
                <w:b/>
                <w:sz w:val="24"/>
              </w:rPr>
              <w:t>一、采购内容及采购预算</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46"/>
              <w:gridCol w:w="1403"/>
              <w:gridCol w:w="846"/>
              <w:gridCol w:w="1317"/>
              <w:gridCol w:w="105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46" w:type="dxa"/>
                  <w:tcBorders>
                    <w:top w:val="single" w:color="000000" w:sz="8" w:space="0"/>
                    <w:left w:val="single" w:color="000000" w:sz="8" w:space="0"/>
                    <w:bottom w:val="single" w:color="000000" w:sz="4" w:space="0"/>
                    <w:right w:val="single" w:color="000000" w:sz="4" w:space="0"/>
                  </w:tcBorders>
                  <w:vAlign w:val="center"/>
                </w:tcPr>
                <w:p>
                  <w:pPr>
                    <w:jc w:val="center"/>
                  </w:pPr>
                  <w:r>
                    <w:rPr>
                      <w:sz w:val="21"/>
                    </w:rPr>
                    <w:t>内容</w:t>
                  </w:r>
                </w:p>
              </w:tc>
              <w:tc>
                <w:tcPr>
                  <w:tcW w:w="1403" w:type="dxa"/>
                  <w:tcBorders>
                    <w:top w:val="single" w:color="000000" w:sz="8" w:space="0"/>
                    <w:left w:val="single" w:color="000000" w:sz="4" w:space="0"/>
                    <w:bottom w:val="single" w:color="000000" w:sz="4" w:space="0"/>
                    <w:right w:val="single" w:color="000000" w:sz="4" w:space="0"/>
                  </w:tcBorders>
                  <w:vAlign w:val="center"/>
                </w:tcPr>
                <w:p>
                  <w:pPr>
                    <w:jc w:val="center"/>
                  </w:pPr>
                  <w:r>
                    <w:rPr>
                      <w:sz w:val="21"/>
                    </w:rPr>
                    <w:t>类别</w:t>
                  </w:r>
                </w:p>
              </w:tc>
              <w:tc>
                <w:tcPr>
                  <w:tcW w:w="846" w:type="dxa"/>
                  <w:tcBorders>
                    <w:top w:val="single" w:color="000000" w:sz="8" w:space="0"/>
                    <w:left w:val="single" w:color="000000" w:sz="4" w:space="0"/>
                    <w:bottom w:val="single" w:color="000000" w:sz="4" w:space="0"/>
                    <w:right w:val="single" w:color="000000" w:sz="4" w:space="0"/>
                  </w:tcBorders>
                  <w:vAlign w:val="top"/>
                </w:tcPr>
                <w:p>
                  <w:pPr>
                    <w:jc w:val="center"/>
                  </w:pPr>
                  <w:r>
                    <w:rPr>
                      <w:sz w:val="21"/>
                    </w:rPr>
                    <w:t>计划人数（人）</w:t>
                  </w:r>
                </w:p>
              </w:tc>
              <w:tc>
                <w:tcPr>
                  <w:tcW w:w="1317" w:type="dxa"/>
                  <w:tcBorders>
                    <w:top w:val="single" w:color="000000" w:sz="8" w:space="0"/>
                    <w:left w:val="single" w:color="000000" w:sz="4" w:space="0"/>
                    <w:bottom w:val="single" w:color="000000" w:sz="4" w:space="0"/>
                    <w:right w:val="single" w:color="000000" w:sz="4" w:space="0"/>
                  </w:tcBorders>
                  <w:vAlign w:val="top"/>
                </w:tcPr>
                <w:p>
                  <w:pPr>
                    <w:jc w:val="center"/>
                  </w:pPr>
                  <w:r>
                    <w:rPr>
                      <w:sz w:val="21"/>
                    </w:rPr>
                    <w:t>套餐最高限价</w:t>
                  </w:r>
                </w:p>
                <w:p>
                  <w:pPr>
                    <w:jc w:val="center"/>
                  </w:pPr>
                  <w:r>
                    <w:rPr>
                      <w:sz w:val="21"/>
                    </w:rPr>
                    <w:t>（元/人）</w:t>
                  </w:r>
                </w:p>
              </w:tc>
              <w:tc>
                <w:tcPr>
                  <w:tcW w:w="1056" w:type="dxa"/>
                  <w:tcBorders>
                    <w:top w:val="single" w:color="000000" w:sz="8" w:space="0"/>
                    <w:left w:val="single" w:color="000000" w:sz="4" w:space="0"/>
                    <w:bottom w:val="single" w:color="000000" w:sz="4" w:space="0"/>
                    <w:right w:val="single" w:color="000000" w:sz="8" w:space="0"/>
                  </w:tcBorders>
                  <w:vAlign w:val="top"/>
                </w:tcPr>
                <w:p>
                  <w:pPr>
                    <w:jc w:val="center"/>
                  </w:pPr>
                  <w:r>
                    <w:rPr>
                      <w:sz w:val="21"/>
                      <w:highlight w:val="none"/>
                    </w:rPr>
                    <w:t>采购预算（元）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46" w:type="dxa"/>
                  <w:vMerge w:val="restart"/>
                  <w:tcBorders>
                    <w:top w:val="single" w:color="000000" w:sz="4" w:space="0"/>
                    <w:left w:val="single" w:color="000000" w:sz="8" w:space="0"/>
                    <w:bottom w:val="single" w:color="000000" w:sz="4" w:space="0"/>
                    <w:right w:val="single" w:color="000000" w:sz="4" w:space="0"/>
                  </w:tcBorders>
                  <w:vAlign w:val="center"/>
                </w:tcPr>
                <w:p>
                  <w:pPr>
                    <w:jc w:val="center"/>
                  </w:pPr>
                  <w:r>
                    <w:rPr>
                      <w:sz w:val="21"/>
                    </w:rPr>
                    <w:t>在编干部职工</w:t>
                  </w:r>
                  <w:r>
                    <w:rPr>
                      <w:rFonts w:hint="eastAsia"/>
                      <w:sz w:val="21"/>
                      <w:lang w:val="en-US" w:eastAsia="zh-CN"/>
                    </w:rPr>
                    <w:t>及合同人员</w:t>
                  </w:r>
                  <w:r>
                    <w:rPr>
                      <w:sz w:val="21"/>
                    </w:rPr>
                    <w:t>健康体检</w:t>
                  </w: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Theme="minorEastAsia"/>
                      <w:lang w:val="en-US" w:eastAsia="zh-CN"/>
                    </w:rPr>
                  </w:pPr>
                  <w:r>
                    <w:rPr>
                      <w:rFonts w:hint="eastAsia"/>
                      <w:lang w:val="en-US" w:eastAsia="zh-CN"/>
                    </w:rPr>
                    <w:t>男性</w:t>
                  </w:r>
                </w:p>
              </w:tc>
              <w:tc>
                <w:tcPr>
                  <w:tcW w:w="846" w:type="dxa"/>
                  <w:tcBorders>
                    <w:top w:val="single" w:color="000000" w:sz="4" w:space="0"/>
                    <w:left w:val="single" w:color="000000" w:sz="4" w:space="0"/>
                    <w:bottom w:val="single" w:color="000000" w:sz="4" w:space="0"/>
                    <w:right w:val="single" w:color="000000" w:sz="4" w:space="0"/>
                  </w:tcBorders>
                  <w:vAlign w:val="top"/>
                </w:tcPr>
                <w:p>
                  <w:pPr>
                    <w:jc w:val="center"/>
                    <w:rPr>
                      <w:rFonts w:hint="default" w:eastAsiaTheme="minorEastAsia"/>
                      <w:lang w:val="en-US" w:eastAsia="zh-CN"/>
                    </w:rPr>
                  </w:pPr>
                  <w:r>
                    <w:rPr>
                      <w:rFonts w:hint="eastAsia"/>
                      <w:lang w:val="en-US" w:eastAsia="zh-CN"/>
                    </w:rPr>
                    <w:t>37</w:t>
                  </w:r>
                </w:p>
              </w:tc>
              <w:tc>
                <w:tcPr>
                  <w:tcW w:w="1317" w:type="dxa"/>
                  <w:tcBorders>
                    <w:top w:val="single" w:color="000000" w:sz="4" w:space="0"/>
                    <w:left w:val="single" w:color="000000" w:sz="4" w:space="0"/>
                    <w:bottom w:val="single" w:color="000000" w:sz="4" w:space="0"/>
                    <w:right w:val="single" w:color="000000" w:sz="4" w:space="0"/>
                  </w:tcBorders>
                  <w:vAlign w:val="top"/>
                </w:tcPr>
                <w:p>
                  <w:pPr>
                    <w:jc w:val="center"/>
                    <w:rPr>
                      <w:rFonts w:hint="default" w:eastAsiaTheme="minorEastAsia"/>
                      <w:lang w:val="en-US" w:eastAsia="zh-CN"/>
                    </w:rPr>
                  </w:pPr>
                  <w:r>
                    <w:rPr>
                      <w:rFonts w:hint="eastAsia"/>
                      <w:lang w:val="en-US" w:eastAsia="zh-CN"/>
                    </w:rPr>
                    <w:t>1860</w:t>
                  </w:r>
                </w:p>
              </w:tc>
              <w:tc>
                <w:tcPr>
                  <w:tcW w:w="1056" w:type="dxa"/>
                  <w:vMerge w:val="restart"/>
                  <w:tcBorders>
                    <w:top w:val="single" w:color="000000" w:sz="4" w:space="0"/>
                    <w:left w:val="single" w:color="000000" w:sz="4" w:space="0"/>
                    <w:bottom w:val="single" w:color="000000" w:sz="4" w:space="0"/>
                    <w:right w:val="single" w:color="000000" w:sz="8" w:space="0"/>
                  </w:tcBorders>
                  <w:vAlign w:val="top"/>
                </w:tcPr>
                <w:p>
                  <w:pPr>
                    <w:jc w:val="center"/>
                    <w:rPr>
                      <w:rFonts w:hint="default" w:eastAsiaTheme="minorEastAsia"/>
                      <w:lang w:val="en-US" w:eastAsia="zh-CN"/>
                    </w:rPr>
                  </w:pPr>
                  <w:r>
                    <w:rPr>
                      <w:rFonts w:hint="eastAsia"/>
                      <w:lang w:val="en-US" w:eastAsia="zh-CN"/>
                    </w:rPr>
                    <w:t>211530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56" w:type="dxa"/>
                <w:trHeight w:val="935" w:hRule="atLeast"/>
              </w:trPr>
              <w:tc>
                <w:tcPr>
                  <w:tcW w:w="846" w:type="dxa"/>
                  <w:vMerge w:val="continue"/>
                  <w:tcBorders>
                    <w:top w:val="single" w:color="000000" w:sz="4" w:space="0"/>
                    <w:left w:val="single" w:color="000000" w:sz="8" w:space="0"/>
                    <w:bottom w:val="single" w:color="000000" w:sz="4" w:space="0"/>
                    <w:right w:val="single" w:color="000000" w:sz="4" w:space="0"/>
                  </w:tcBorders>
                  <w:vAlign w:val="center"/>
                </w:tcPr>
                <w:p>
                  <w:pPr>
                    <w:jc w:val="cente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lang w:val="en-US" w:eastAsia="zh-CN"/>
                    </w:rPr>
                    <w:t>女性</w:t>
                  </w:r>
                </w:p>
              </w:tc>
              <w:tc>
                <w:tcPr>
                  <w:tcW w:w="846" w:type="dxa"/>
                  <w:tcBorders>
                    <w:top w:val="single" w:color="000000" w:sz="4" w:space="0"/>
                    <w:left w:val="single" w:color="000000" w:sz="4" w:space="0"/>
                    <w:bottom w:val="single" w:color="000000" w:sz="4" w:space="0"/>
                    <w:right w:val="single" w:color="000000" w:sz="4" w:space="0"/>
                  </w:tcBorders>
                  <w:vAlign w:val="top"/>
                </w:tcPr>
                <w:p>
                  <w:pPr>
                    <w:jc w:val="center"/>
                    <w:rPr>
                      <w:rFonts w:hint="default" w:eastAsiaTheme="minorEastAsia"/>
                      <w:lang w:val="en-US" w:eastAsia="zh-CN"/>
                    </w:rPr>
                  </w:pPr>
                  <w:r>
                    <w:rPr>
                      <w:rFonts w:hint="eastAsia"/>
                      <w:lang w:val="en-US" w:eastAsia="zh-CN"/>
                    </w:rPr>
                    <w:t>39</w:t>
                  </w:r>
                </w:p>
              </w:tc>
              <w:tc>
                <w:tcPr>
                  <w:tcW w:w="1317" w:type="dxa"/>
                  <w:tcBorders>
                    <w:top w:val="single" w:color="000000" w:sz="4" w:space="0"/>
                    <w:left w:val="single" w:color="000000" w:sz="4" w:space="0"/>
                    <w:bottom w:val="single" w:color="000000" w:sz="4" w:space="0"/>
                    <w:right w:val="single" w:color="000000" w:sz="4" w:space="0"/>
                  </w:tcBorders>
                  <w:vAlign w:val="top"/>
                </w:tcPr>
                <w:p>
                  <w:pPr>
                    <w:jc w:val="center"/>
                    <w:rPr>
                      <w:rFonts w:hint="default" w:eastAsiaTheme="minorEastAsia"/>
                      <w:lang w:val="en-US" w:eastAsia="zh-CN"/>
                    </w:rPr>
                  </w:pPr>
                  <w:r>
                    <w:rPr>
                      <w:sz w:val="21"/>
                    </w:rPr>
                    <w:t>21</w:t>
                  </w:r>
                  <w:r>
                    <w:rPr>
                      <w:rFonts w:hint="eastAsia"/>
                      <w:sz w:val="21"/>
                      <w:lang w:val="en-US" w:eastAsia="zh-CN"/>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56" w:type="dxa"/>
              </w:trPr>
              <w:tc>
                <w:tcPr>
                  <w:tcW w:w="846" w:type="dxa"/>
                  <w:tcBorders>
                    <w:top w:val="single" w:color="000000" w:sz="4" w:space="0"/>
                    <w:left w:val="single" w:color="000000" w:sz="8" w:space="0"/>
                    <w:bottom w:val="single" w:color="000000" w:sz="8" w:space="0"/>
                    <w:right w:val="single" w:color="000000" w:sz="4" w:space="0"/>
                  </w:tcBorders>
                  <w:vAlign w:val="center"/>
                </w:tcPr>
                <w:p>
                  <w:pPr>
                    <w:jc w:val="center"/>
                  </w:pPr>
                  <w:r>
                    <w:rPr>
                      <w:sz w:val="21"/>
                    </w:rPr>
                    <w:t>在编干部职工</w:t>
                  </w:r>
                  <w:r>
                    <w:rPr>
                      <w:rFonts w:hint="eastAsia"/>
                      <w:sz w:val="21"/>
                      <w:lang w:val="en-US" w:eastAsia="zh-CN"/>
                    </w:rPr>
                    <w:t>及合同人员</w:t>
                  </w:r>
                  <w:r>
                    <w:rPr>
                      <w:sz w:val="21"/>
                    </w:rPr>
                    <w:t>休养</w:t>
                  </w:r>
                </w:p>
              </w:tc>
              <w:tc>
                <w:tcPr>
                  <w:tcW w:w="1403" w:type="dxa"/>
                  <w:tcBorders>
                    <w:top w:val="single" w:color="000000" w:sz="4" w:space="0"/>
                    <w:left w:val="single" w:color="000000" w:sz="4" w:space="0"/>
                    <w:bottom w:val="single" w:color="000000" w:sz="8" w:space="0"/>
                    <w:right w:val="single" w:color="000000" w:sz="4" w:space="0"/>
                  </w:tcBorders>
                  <w:vAlign w:val="center"/>
                </w:tcPr>
                <w:p>
                  <w:pPr>
                    <w:jc w:val="center"/>
                  </w:pPr>
                </w:p>
              </w:tc>
              <w:tc>
                <w:tcPr>
                  <w:tcW w:w="846" w:type="dxa"/>
                  <w:tcBorders>
                    <w:top w:val="single" w:color="000000" w:sz="4" w:space="0"/>
                    <w:left w:val="single" w:color="000000" w:sz="4" w:space="0"/>
                    <w:bottom w:val="single" w:color="000000" w:sz="8" w:space="0"/>
                    <w:right w:val="single" w:color="000000" w:sz="4" w:space="0"/>
                  </w:tcBorders>
                  <w:vAlign w:val="top"/>
                </w:tcPr>
                <w:p>
                  <w:pPr>
                    <w:jc w:val="center"/>
                    <w:rPr>
                      <w:rFonts w:hint="default" w:eastAsiaTheme="minorEastAsia"/>
                      <w:lang w:val="en-US" w:eastAsia="zh-CN"/>
                    </w:rPr>
                  </w:pPr>
                  <w:r>
                    <w:rPr>
                      <w:rFonts w:hint="eastAsia"/>
                      <w:lang w:val="en-US" w:eastAsia="zh-CN"/>
                    </w:rPr>
                    <w:t>76</w:t>
                  </w:r>
                </w:p>
              </w:tc>
              <w:tc>
                <w:tcPr>
                  <w:tcW w:w="1317" w:type="dxa"/>
                  <w:tcBorders>
                    <w:top w:val="single" w:color="000000" w:sz="4" w:space="0"/>
                    <w:left w:val="single" w:color="000000" w:sz="4" w:space="0"/>
                    <w:bottom w:val="single" w:color="000000" w:sz="8" w:space="0"/>
                    <w:right w:val="single" w:color="000000" w:sz="4" w:space="0"/>
                  </w:tcBorders>
                  <w:vAlign w:val="top"/>
                </w:tcPr>
                <w:p>
                  <w:pPr>
                    <w:jc w:val="center"/>
                    <w:rPr>
                      <w:rFonts w:hint="default" w:eastAsiaTheme="minorEastAsia"/>
                      <w:lang w:val="en-US" w:eastAsia="zh-CN"/>
                    </w:rPr>
                  </w:pPr>
                  <w:r>
                    <w:rPr>
                      <w:rFonts w:hint="eastAsia"/>
                      <w:lang w:val="en-US" w:eastAsia="zh-CN"/>
                    </w:rPr>
                    <w:t>795</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26" w:type="dxa"/>
          </w:tcPr>
          <w:p>
            <w:r>
              <w:t>2</w:t>
            </w:r>
          </w:p>
        </w:tc>
        <w:tc>
          <w:tcPr>
            <w:tcW w:w="5814" w:type="dxa"/>
          </w:tcPr>
          <w:p>
            <w:r>
              <w:rPr>
                <w:b/>
                <w:sz w:val="24"/>
              </w:rPr>
              <w:t>二、招标要求</w:t>
            </w:r>
          </w:p>
          <w:p>
            <w:r>
              <w:rPr>
                <w:b/>
                <w:sz w:val="24"/>
              </w:rPr>
              <w:t>（一）投标人总体要求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w:t>
            </w:r>
          </w:p>
        </w:tc>
        <w:tc>
          <w:tcPr>
            <w:tcW w:w="426" w:type="dxa"/>
          </w:tcPr>
          <w:p>
            <w:r>
              <w:t>3</w:t>
            </w:r>
          </w:p>
        </w:tc>
        <w:tc>
          <w:tcPr>
            <w:tcW w:w="5814" w:type="dxa"/>
          </w:tcPr>
          <w:p>
            <w:r>
              <w:rPr>
                <w:sz w:val="24"/>
              </w:rPr>
              <w:t>1、★投标人应具备休闲住宿条件</w:t>
            </w:r>
            <w:r>
              <w:rPr>
                <w:b/>
                <w:sz w:val="24"/>
              </w:rPr>
              <w:t>（提供客房图片至少一张）</w:t>
            </w:r>
            <w:r>
              <w:rPr>
                <w:sz w:val="24"/>
              </w:rPr>
              <w:t>。营业执照注册.地址不在广州市的投标人，提供能在广州市内进行体检服务的证明文件。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w:t>
            </w:r>
          </w:p>
        </w:tc>
        <w:tc>
          <w:tcPr>
            <w:tcW w:w="426" w:type="dxa"/>
          </w:tcPr>
          <w:p>
            <w:r>
              <w:t>4</w:t>
            </w:r>
          </w:p>
        </w:tc>
        <w:tc>
          <w:tcPr>
            <w:tcW w:w="5814" w:type="dxa"/>
          </w:tcPr>
          <w:p>
            <w:r>
              <w:rPr>
                <w:sz w:val="24"/>
              </w:rPr>
              <w:t>2、</w:t>
            </w:r>
            <w:r>
              <w:rPr>
                <w:b/>
                <w:sz w:val="24"/>
              </w:rPr>
              <w:t>▲</w:t>
            </w:r>
            <w:r>
              <w:rPr>
                <w:sz w:val="24"/>
              </w:rPr>
              <w:t>投标人需为拥有住宿床位</w:t>
            </w:r>
            <w:r>
              <w:rPr>
                <w:rFonts w:hint="eastAsia"/>
                <w:sz w:val="24"/>
                <w:lang w:val="en-US" w:eastAsia="zh-CN"/>
              </w:rPr>
              <w:t>80</w:t>
            </w:r>
            <w:r>
              <w:rPr>
                <w:sz w:val="24"/>
              </w:rPr>
              <w:t>个以上的非营利性医疗机构，同时要具有健康保健、休闲住宿、康体活动等配套功能。</w:t>
            </w:r>
            <w:r>
              <w:rPr>
                <w:b/>
                <w:sz w:val="24"/>
              </w:rPr>
              <w:t>(提供承诺函及照片)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w:t>
            </w:r>
          </w:p>
        </w:tc>
        <w:tc>
          <w:tcPr>
            <w:tcW w:w="426" w:type="dxa"/>
          </w:tcPr>
          <w:p>
            <w:r>
              <w:t>5</w:t>
            </w:r>
          </w:p>
        </w:tc>
        <w:tc>
          <w:tcPr>
            <w:tcW w:w="5814" w:type="dxa"/>
          </w:tcPr>
          <w:p>
            <w:r>
              <w:rPr>
                <w:b/>
                <w:sz w:val="24"/>
              </w:rPr>
              <w:t>3、★投标人应在投标文件中明确体检中心的具体名称和地址。投标人如有多个体检中心的，应为本项目选择便于采购人职工体检且各方面条件较优的唯一一个体检中心作为为本项目提供服务的体检中心，采购人职工集中在该体检中心进行体检。（投标文件中须提供声明函，明确为本项目提供的唯一体检中心及其名称和地址。如投标文件中未明确体检中心的名称和地址或声明函中提供的体检中心不唯一的，按投标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26" w:type="dxa"/>
          </w:tcPr>
          <w:p>
            <w:r>
              <w:t>6</w:t>
            </w:r>
          </w:p>
        </w:tc>
        <w:tc>
          <w:tcPr>
            <w:tcW w:w="5814" w:type="dxa"/>
          </w:tcPr>
          <w:p>
            <w:r>
              <w:rPr>
                <w:sz w:val="24"/>
              </w:rPr>
              <w:t>4、</w:t>
            </w:r>
            <w:r>
              <w:rPr>
                <w:b/>
                <w:sz w:val="24"/>
              </w:rPr>
              <w:t>投标人应在投标文件中明确该体检中心（以下体检中心均指上述第3点要求的唯一体检中心）的地址、体检中心场所情况、设备、人员等信息，该体检中心应满足以下要求。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w:t>
            </w:r>
          </w:p>
        </w:tc>
        <w:tc>
          <w:tcPr>
            <w:tcW w:w="426" w:type="dxa"/>
          </w:tcPr>
          <w:p>
            <w:r>
              <w:t>7</w:t>
            </w:r>
          </w:p>
        </w:tc>
        <w:tc>
          <w:tcPr>
            <w:tcW w:w="5814" w:type="dxa"/>
          </w:tcPr>
          <w:p>
            <w:r>
              <w:rPr>
                <w:sz w:val="24"/>
              </w:rPr>
              <w:t>（1）★投标人的体检及休养住宿场所要求在同一范围区域内</w:t>
            </w:r>
            <w:r>
              <w:rPr>
                <w:b/>
                <w:sz w:val="24"/>
              </w:rPr>
              <w:t>（提供承诺函）</w:t>
            </w:r>
            <w:r>
              <w:rPr>
                <w:sz w:val="24"/>
              </w:rPr>
              <w:t>。</w:t>
            </w:r>
          </w:p>
          <w:p>
            <w:r>
              <w:rPr>
                <w:sz w:val="24"/>
              </w:rPr>
              <w:t>（2）★能同时免费提供</w:t>
            </w:r>
            <w:r>
              <w:rPr>
                <w:rFonts w:hint="eastAsia"/>
                <w:sz w:val="24"/>
                <w:lang w:val="en-US" w:eastAsia="zh-CN"/>
              </w:rPr>
              <w:t>50</w:t>
            </w:r>
            <w:r>
              <w:rPr>
                <w:sz w:val="24"/>
              </w:rPr>
              <w:t>个以上小型车车位。</w:t>
            </w:r>
            <w:r>
              <w:rPr>
                <w:b/>
                <w:sz w:val="24"/>
              </w:rPr>
              <w:t>(需要提供承诺函及照片)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26" w:type="dxa"/>
          </w:tcPr>
          <w:p>
            <w:r>
              <w:t>8</w:t>
            </w:r>
          </w:p>
        </w:tc>
        <w:tc>
          <w:tcPr>
            <w:tcW w:w="5814" w:type="dxa"/>
          </w:tcPr>
          <w:p>
            <w:r>
              <w:rPr>
                <w:sz w:val="24"/>
              </w:rPr>
              <w:t>（3）响应“禁止受检者和患者共检”的号召，要求投标人有独立的体检中心，所有仪器设备人员为体检专用，远离病人就诊或住院区域50米以上，体检中心面积达到2000平方米以上。</w:t>
            </w:r>
          </w:p>
          <w:p>
            <w:r>
              <w:rPr>
                <w:sz w:val="24"/>
              </w:rPr>
              <w:t>（4）体检中心应设备先进，且设备检测状况良好，能够提供本体检项目的B超（彩色B超）设备不少于4台；胸透DR设备不少于2台。</w:t>
            </w:r>
          </w:p>
          <w:p>
            <w:r>
              <w:rPr>
                <w:sz w:val="24"/>
              </w:rPr>
              <w:t>（5）体检所用医疗设备、器材、卫生材料及试剂均是通过具备医疗器械（或药品）经营许可证的公司采购的具备医疗器械（或药品）注册证的产品，设备器材均按规定定期参加各级技术监督局的计量检查，确保体检结果的可靠性。</w:t>
            </w:r>
          </w:p>
          <w:p>
            <w:r>
              <w:rPr>
                <w:sz w:val="24"/>
              </w:rPr>
              <w:t>（6）投标人的体检中心检验科及放射室均具有国家相关许可资格，并建立完整的质量控制体系，确保检验结果的准确性。</w:t>
            </w:r>
          </w:p>
          <w:p>
            <w:r>
              <w:rPr>
                <w:sz w:val="24"/>
              </w:rPr>
              <w:t>（7）体检质量达到医学行业标准，检验室需参加省级或以上的室间质控，并提供依据。</w:t>
            </w:r>
          </w:p>
          <w:p>
            <w:r>
              <w:rPr>
                <w:b/>
                <w:sz w:val="24"/>
              </w:rPr>
              <w:t>（二）体检服务要求</w:t>
            </w:r>
          </w:p>
          <w:p>
            <w:r>
              <w:rPr>
                <w:sz w:val="24"/>
              </w:rPr>
              <w:t>1、体检医院须设采购人体检专场，体检计划在</w:t>
            </w:r>
            <w:r>
              <w:rPr>
                <w:rFonts w:hint="eastAsia"/>
                <w:sz w:val="24"/>
                <w:lang w:val="en-US" w:eastAsia="zh-CN"/>
              </w:rPr>
              <w:t>2</w:t>
            </w:r>
            <w:r>
              <w:rPr>
                <w:sz w:val="24"/>
              </w:rPr>
              <w:t>个月内分</w:t>
            </w:r>
            <w:r>
              <w:rPr>
                <w:rFonts w:hint="eastAsia"/>
                <w:sz w:val="24"/>
                <w:lang w:val="en-US" w:eastAsia="zh-CN"/>
              </w:rPr>
              <w:t>6</w:t>
            </w:r>
            <w:r>
              <w:rPr>
                <w:sz w:val="24"/>
              </w:rPr>
              <w:t>个批次进行，每批需安排检查约</w:t>
            </w:r>
            <w:r>
              <w:rPr>
                <w:rFonts w:hint="eastAsia"/>
                <w:sz w:val="24"/>
                <w:lang w:val="en-US" w:eastAsia="zh-CN"/>
              </w:rPr>
              <w:t>30</w:t>
            </w:r>
            <w:r>
              <w:rPr>
                <w:sz w:val="24"/>
              </w:rPr>
              <w:t>人以上，每批次体检要求在当天17：00完成所有人员的体检项目。具体时间和批次中标后与供应商具体商定。</w:t>
            </w:r>
          </w:p>
          <w:p>
            <w:r>
              <w:rPr>
                <w:sz w:val="24"/>
              </w:rPr>
              <w:t>2、车辆服务：中标服务商应按照采购人的体检批次并根据各批次体检人数在广州市内提供车辆服务站点。具体接送时间、接送地点由双方在体检工作开始前确定。</w:t>
            </w:r>
          </w:p>
          <w:p>
            <w:r>
              <w:rPr>
                <w:sz w:val="24"/>
              </w:rPr>
              <w:t>3、在体检区域内须有清晰准确的体检引导标志牌和体检导诊员，导诊员负责体检现场统筹工作，并对体检过程中发生的事故进行及时有效地处理，以保证体检工作按时有序地完成。同时应做好体检资料的制作、管理和发放（包括体检表、体检须知），如采购人不慎遗失体检表或因工作调动等原因漏报体检人员，中标人应予及时补发。</w:t>
            </w:r>
          </w:p>
          <w:p>
            <w:r>
              <w:rPr>
                <w:sz w:val="24"/>
              </w:rPr>
              <w:t>4、中标人在体检期间须派驻一名具有高级职称的内科医生作为现场咨询专家，要求专家耐心细致，能认真回答体检员工的相关疑问。</w:t>
            </w:r>
          </w:p>
          <w:p>
            <w:r>
              <w:rPr>
                <w:sz w:val="24"/>
              </w:rPr>
              <w:t>5、中标人应对体检结果负责。体检医院要由副主任级以上医生填写每人的健康体检报告，体检报告应包括：总检报告或信息汇总，体检结果建议或体检指南内容、实验室检查项目检验原始单据（并列明检验方法）等内容。体检报告应提供纸质版本和电子版本，其中纸质版本由体检医院盖章出具报告（内容包括检验结果及建议），以书面、密封的形式于体检后3周内送达采购人办公室。未征得采购人的同意，中标人不得将体检结果告诉第三人。</w:t>
            </w:r>
            <w:r>
              <w:rPr>
                <w:b/>
                <w:sz w:val="24"/>
              </w:rPr>
              <w:t>（提供承诺书加盖公章，格式自拟）</w:t>
            </w:r>
          </w:p>
          <w:p>
            <w:r>
              <w:rPr>
                <w:sz w:val="24"/>
              </w:rPr>
              <w:t>6、体检全部结束后，体检医院须根据体检情况写出书面总结（附各病种异常率、疾病发病率的人员统计等）。写出分析报告并提出相关建议。全体参检人员各病症异常率、各分项统计报告、总体统计报告、疾病患病的统计。</w:t>
            </w:r>
          </w:p>
          <w:p>
            <w:r>
              <w:rPr>
                <w:sz w:val="24"/>
              </w:rPr>
              <w:t>7、体检医院须按要求建立健康档案，健康档案包括纸质文档和电子文档。电子文档由体检医院于每批体检结束后将体检的所有数据（包括人员信息、化验单、检查结果、体检总评、专家意见等）用数据库Excel 表格录入。同时，电子文档提交一份给采购人单位备份，以便采购人对参检人员的健康资料、体检情况、病种等随时调用、筛选、统计归类，进行动态跟踪。</w:t>
            </w:r>
          </w:p>
          <w:p>
            <w:r>
              <w:rPr>
                <w:sz w:val="24"/>
              </w:rPr>
              <w:t>8、体检过程中，如遇发现疑似恶性肿瘤、传染病（如结核病）等特殊情况，中标服务商应立即通知采购人，对可疑病例要复查的，复查名单及内容通知其个人及采购单位联系人。</w:t>
            </w:r>
          </w:p>
          <w:p>
            <w:r>
              <w:rPr>
                <w:sz w:val="24"/>
              </w:rPr>
              <w:t>9、中标服务商承诺未按服务项目要求完成或完成不彻底，须按要求重新安排体检，且采购人有权扣减合同付款金额直至终止合约，由此造成的一切后果由中标服务商承担。中标服务商在服务期间由于自身责任造成采购人的一切损失，由中标服务商负责赔偿。</w:t>
            </w:r>
          </w:p>
          <w:p>
            <w:r>
              <w:rPr>
                <w:sz w:val="24"/>
              </w:rPr>
              <w:t>10、非约定项目检查，采购人不予支付任何费用。</w:t>
            </w:r>
          </w:p>
          <w:p>
            <w:r>
              <w:rPr>
                <w:sz w:val="24"/>
              </w:rPr>
              <w:t>11、增值服务：针对采购人提供心理能力提升课程，同时于检后对参检人员异常结果一对一讲解及开展健康讲座。</w:t>
            </w:r>
          </w:p>
          <w:p>
            <w:r>
              <w:rPr>
                <w:sz w:val="24"/>
              </w:rPr>
              <w:t>12、中标后不得将体检业务转包、分包给其他单位。</w:t>
            </w:r>
          </w:p>
          <w:p>
            <w:r>
              <w:rPr>
                <w:b/>
                <w:sz w:val="24"/>
              </w:rPr>
              <w:t>（三）休养服务要求</w:t>
            </w:r>
          </w:p>
          <w:p>
            <w:r>
              <w:rPr>
                <w:sz w:val="24"/>
              </w:rPr>
              <w:t>1、每批次休养体检期为三天两晚，由中标方负责提供食宿，每批次接待休养人员不少于</w:t>
            </w:r>
            <w:r>
              <w:rPr>
                <w:sz w:val="21"/>
                <w:u w:val="single"/>
              </w:rPr>
              <w:t xml:space="preserve"> </w:t>
            </w:r>
            <w:r>
              <w:rPr>
                <w:rFonts w:hint="eastAsia"/>
                <w:sz w:val="21"/>
                <w:u w:val="single"/>
                <w:lang w:val="en-US" w:eastAsia="zh-CN"/>
              </w:rPr>
              <w:t>4</w:t>
            </w:r>
            <w:r>
              <w:rPr>
                <w:sz w:val="24"/>
                <w:u w:val="single"/>
              </w:rPr>
              <w:t>0</w:t>
            </w:r>
            <w:r>
              <w:rPr>
                <w:sz w:val="24"/>
              </w:rPr>
              <w:t>人。</w:t>
            </w:r>
          </w:p>
          <w:p>
            <w:r>
              <w:rPr>
                <w:sz w:val="24"/>
              </w:rPr>
              <w:t>2、住宿设施条件应为三星级以上。</w:t>
            </w:r>
          </w:p>
          <w:p>
            <w:r>
              <w:rPr>
                <w:sz w:val="24"/>
              </w:rPr>
              <w:t>3、餐饮包括</w:t>
            </w:r>
            <w:r>
              <w:rPr>
                <w:rFonts w:hint="eastAsia"/>
                <w:sz w:val="24"/>
                <w:lang w:val="en-US" w:eastAsia="zh-CN"/>
              </w:rPr>
              <w:t>2</w:t>
            </w:r>
            <w:r>
              <w:rPr>
                <w:sz w:val="24"/>
              </w:rPr>
              <w:t>个早餐（</w:t>
            </w:r>
            <w:r>
              <w:rPr>
                <w:rFonts w:hint="eastAsia"/>
                <w:sz w:val="24"/>
                <w:lang w:val="en-US" w:eastAsia="zh-CN"/>
              </w:rPr>
              <w:t>不</w:t>
            </w:r>
            <w:r>
              <w:rPr>
                <w:sz w:val="24"/>
              </w:rPr>
              <w:t>含体检当天）、3个午餐、2个晚餐】，由中标方负责提供。早餐每份价值不低于人民币20元，需冷热丰富，正餐可以是自助餐或围餐（10人/围），餐标不得低于人民币 55元/人，每天正餐菜式应有所不同，荤素搭配合理，营养充足，保质保量。</w:t>
            </w:r>
          </w:p>
          <w:p>
            <w:r>
              <w:rPr>
                <w:sz w:val="24"/>
              </w:rPr>
              <w:t>4、中标服务商应免费提供休养场所内的康体和娱乐设施供休养体检人员使用。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26" w:type="dxa"/>
          </w:tcPr>
          <w:p>
            <w:pPr>
              <w:rPr>
                <w:highlight w:val="none"/>
              </w:rPr>
            </w:pPr>
            <w:r>
              <w:rPr>
                <w:highlight w:val="none"/>
              </w:rPr>
              <w:t>9</w:t>
            </w:r>
          </w:p>
        </w:tc>
        <w:tc>
          <w:tcPr>
            <w:tcW w:w="5814" w:type="dxa"/>
          </w:tcPr>
          <w:p>
            <w:pPr>
              <w:rPr>
                <w:highlight w:val="none"/>
              </w:rPr>
            </w:pPr>
            <w:r>
              <w:rPr>
                <w:sz w:val="24"/>
                <w:highlight w:val="none"/>
              </w:rPr>
              <w:t>三、</w:t>
            </w:r>
            <w:r>
              <w:rPr>
                <w:b/>
                <w:sz w:val="24"/>
                <w:highlight w:val="none"/>
              </w:rPr>
              <w:t>体检项目：详见各体检套餐表。</w:t>
            </w:r>
            <w:r>
              <w:rPr>
                <w:highlight w:val="none"/>
              </w:rPr>
              <w:t xml:space="preserve"> </w:t>
            </w:r>
          </w:p>
          <w:tbl>
            <w:tblPr>
              <w:tblStyle w:val="2"/>
              <w:tblW w:w="5593" w:type="dxa"/>
              <w:tblInd w:w="0" w:type="dxa"/>
              <w:tblLayout w:type="autofit"/>
              <w:tblCellMar>
                <w:top w:w="0" w:type="dxa"/>
                <w:left w:w="108" w:type="dxa"/>
                <w:bottom w:w="0" w:type="dxa"/>
                <w:right w:w="108" w:type="dxa"/>
              </w:tblCellMar>
            </w:tblPr>
            <w:tblGrid>
              <w:gridCol w:w="720"/>
              <w:gridCol w:w="732"/>
              <w:gridCol w:w="1368"/>
              <w:gridCol w:w="721"/>
              <w:gridCol w:w="727"/>
              <w:gridCol w:w="1325"/>
            </w:tblGrid>
            <w:tr>
              <w:tc>
                <w:tcPr>
                  <w:tcW w:w="28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highlight w:val="none"/>
                    </w:rPr>
                  </w:pPr>
                  <w:r>
                    <w:rPr>
                      <w:b/>
                      <w:color w:val="000000"/>
                      <w:sz w:val="21"/>
                      <w:highlight w:val="none"/>
                    </w:rPr>
                    <w:t>套餐一（</w:t>
                  </w:r>
                  <w:r>
                    <w:rPr>
                      <w:rFonts w:hint="eastAsia"/>
                      <w:b/>
                      <w:color w:val="000000"/>
                      <w:sz w:val="21"/>
                      <w:highlight w:val="none"/>
                      <w:lang w:val="en-US" w:eastAsia="zh-CN"/>
                    </w:rPr>
                    <w:t>男性</w:t>
                  </w:r>
                  <w:r>
                    <w:rPr>
                      <w:b/>
                      <w:color w:val="000000"/>
                      <w:sz w:val="21"/>
                      <w:highlight w:val="none"/>
                    </w:rPr>
                    <w:t>）</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highlight w:val="none"/>
                    </w:rPr>
                  </w:pPr>
                  <w:r>
                    <w:rPr>
                      <w:b/>
                      <w:color w:val="000000"/>
                      <w:sz w:val="21"/>
                      <w:highlight w:val="none"/>
                    </w:rPr>
                    <w:t>套餐二（</w:t>
                  </w:r>
                  <w:r>
                    <w:rPr>
                      <w:rFonts w:hint="eastAsia"/>
                      <w:b/>
                      <w:color w:val="000000"/>
                      <w:sz w:val="21"/>
                      <w:highlight w:val="none"/>
                      <w:lang w:val="en-US" w:eastAsia="zh-CN"/>
                    </w:rPr>
                    <w:t>女性</w:t>
                  </w:r>
                  <w:r>
                    <w:rPr>
                      <w:b/>
                      <w:color w:val="000000"/>
                      <w:sz w:val="21"/>
                      <w:highlight w:val="none"/>
                    </w:rPr>
                    <w:t>）</w:t>
                  </w:r>
                </w:p>
              </w:tc>
            </w:tr>
            <w:tr>
              <w:tblPrEx>
                <w:tblCellMar>
                  <w:top w:w="0" w:type="dxa"/>
                  <w:left w:w="108" w:type="dxa"/>
                  <w:bottom w:w="0" w:type="dxa"/>
                  <w:right w:w="108" w:type="dxa"/>
                </w:tblCellMar>
              </w:tblPrEx>
              <w:tc>
                <w:tcPr>
                  <w:tcW w:w="1452" w:type="dxa"/>
                  <w:gridSpan w:val="2"/>
                  <w:tcBorders>
                    <w:top w:val="nil"/>
                    <w:left w:val="single" w:color="000000" w:sz="4" w:space="0"/>
                    <w:bottom w:val="single" w:color="000000" w:sz="4" w:space="0"/>
                    <w:right w:val="single" w:color="000000" w:sz="4" w:space="0"/>
                  </w:tcBorders>
                  <w:vAlign w:val="center"/>
                </w:tcPr>
                <w:p>
                  <w:pPr>
                    <w:jc w:val="center"/>
                    <w:rPr>
                      <w:highlight w:val="none"/>
                    </w:rPr>
                  </w:pPr>
                  <w:r>
                    <w:rPr>
                      <w:b/>
                      <w:color w:val="000000"/>
                      <w:sz w:val="21"/>
                      <w:highlight w:val="none"/>
                    </w:rPr>
                    <w:t>项目分类</w:t>
                  </w: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b/>
                      <w:color w:val="000000"/>
                      <w:sz w:val="21"/>
                      <w:highlight w:val="none"/>
                    </w:rPr>
                    <w:t>项目内容</w:t>
                  </w:r>
                </w:p>
              </w:tc>
              <w:tc>
                <w:tcPr>
                  <w:tcW w:w="1448" w:type="dxa"/>
                  <w:gridSpan w:val="2"/>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b/>
                      <w:color w:val="000000"/>
                      <w:sz w:val="21"/>
                      <w:highlight w:val="none"/>
                    </w:rPr>
                    <w:t>项目分类</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b/>
                      <w:color w:val="000000"/>
                      <w:sz w:val="21"/>
                      <w:highlight w:val="none"/>
                    </w:rPr>
                    <w:t>项目内容</w:t>
                  </w:r>
                </w:p>
              </w:tc>
            </w:tr>
            <w:tr>
              <w:tblPrEx>
                <w:tblCellMar>
                  <w:top w:w="0" w:type="dxa"/>
                  <w:left w:w="108" w:type="dxa"/>
                  <w:bottom w:w="0" w:type="dxa"/>
                  <w:right w:w="108" w:type="dxa"/>
                </w:tblCellMar>
              </w:tblPrEx>
              <w:tc>
                <w:tcPr>
                  <w:tcW w:w="720"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体格检查</w:t>
                  </w:r>
                </w:p>
              </w:tc>
              <w:tc>
                <w:tcPr>
                  <w:tcW w:w="732"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一般项目</w:t>
                  </w: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身高、体重、血压、腰围、臀围、腰臀比、体重指数</w:t>
                  </w:r>
                </w:p>
              </w:tc>
              <w:tc>
                <w:tcPr>
                  <w:tcW w:w="721"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体格检查</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一般项目</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身高、体重、血压、腰围、臀围、腰臀比、体重指数</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眼、耳鼻咽喉</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single" w:color="000000" w:sz="4" w:space="0"/>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眼、耳鼻咽喉</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前鼻镜检查</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single" w:color="000000" w:sz="4" w:space="0"/>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前鼻镜检查</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电耳镜检查</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single" w:color="000000" w:sz="4" w:space="0"/>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电耳镜检查</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内外科常规检查</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single" w:color="000000" w:sz="4" w:space="0"/>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内外科常规检查</w:t>
                  </w:r>
                </w:p>
              </w:tc>
            </w:tr>
            <w:tr>
              <w:tblPrEx>
                <w:tblCellMar>
                  <w:top w:w="0" w:type="dxa"/>
                  <w:left w:w="108" w:type="dxa"/>
                  <w:bottom w:w="0" w:type="dxa"/>
                  <w:right w:w="108" w:type="dxa"/>
                </w:tblCellMar>
              </w:tblPrEx>
              <w:tc>
                <w:tcPr>
                  <w:tcW w:w="720"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仪器检查</w:t>
                  </w:r>
                </w:p>
              </w:tc>
              <w:tc>
                <w:tcPr>
                  <w:tcW w:w="732"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超声探查</w:t>
                  </w:r>
                </w:p>
              </w:tc>
              <w:tc>
                <w:tcPr>
                  <w:tcW w:w="1368"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甲状腺彩超</w:t>
                  </w:r>
                </w:p>
              </w:tc>
              <w:tc>
                <w:tcPr>
                  <w:tcW w:w="721"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仪器检查</w:t>
                  </w:r>
                </w:p>
              </w:tc>
              <w:tc>
                <w:tcPr>
                  <w:tcW w:w="727"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超声探查</w:t>
                  </w: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甲状腺彩超</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vMerge w:val="continue"/>
                  <w:tcBorders>
                    <w:top w:val="nil"/>
                    <w:left w:val="single" w:color="000000" w:sz="4" w:space="0"/>
                    <w:bottom w:val="single" w:color="000000" w:sz="4" w:space="0"/>
                    <w:right w:val="single" w:color="000000" w:sz="4" w:space="0"/>
                  </w:tcBorders>
                </w:tcPr>
                <w:p>
                  <w:pPr>
                    <w:rPr>
                      <w:highlight w:val="none"/>
                    </w:rPr>
                  </w:pP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颈部血管彩超</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rFonts w:hint="eastAsia" w:eastAsiaTheme="minorEastAsia"/>
                      <w:highlight w:val="none"/>
                      <w:lang w:val="en-US" w:eastAsia="zh-CN"/>
                    </w:rPr>
                  </w:pPr>
                  <w:r>
                    <w:rPr>
                      <w:color w:val="000000"/>
                      <w:sz w:val="21"/>
                      <w:highlight w:val="none"/>
                    </w:rPr>
                    <w:t>腹部彩超+超声图文费（肝胆胰脾、双肾膀胱、前列腺</w:t>
                  </w:r>
                  <w:r>
                    <w:rPr>
                      <w:rFonts w:hint="eastAsia"/>
                      <w:color w:val="000000"/>
                      <w:sz w:val="21"/>
                      <w:highlight w:val="none"/>
                      <w:lang w:eastAsia="zh-CN"/>
                    </w:rPr>
                    <w:t>）</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腹部彩超+超声图文费（肝胆胰脾、双肾膀胱、子宫附件）</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心电图</w:t>
                  </w: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心脏</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心电图</w:t>
                  </w:r>
                </w:p>
              </w:tc>
              <w:tc>
                <w:tcPr>
                  <w:tcW w:w="1325"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心脏</w:t>
                  </w:r>
                </w:p>
              </w:tc>
            </w:tr>
            <w:tr>
              <w:tblPrEx>
                <w:tblCellMar>
                  <w:top w:w="0" w:type="dxa"/>
                  <w:left w:w="108" w:type="dxa"/>
                  <w:bottom w:w="0" w:type="dxa"/>
                  <w:right w:w="108" w:type="dxa"/>
                </w:tblCellMar>
              </w:tblPrEx>
              <w:trPr>
                <w:gridAfter w:val="3"/>
                <w:wAfter w:w="2773" w:type="dxa"/>
              </w:trPr>
              <w:tc>
                <w:tcPr>
                  <w:tcW w:w="720"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实验室检查</w:t>
                  </w:r>
                </w:p>
              </w:tc>
              <w:tc>
                <w:tcPr>
                  <w:tcW w:w="732"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常规项目</w:t>
                  </w: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血常规五分类</w:t>
                  </w:r>
                </w:p>
              </w:tc>
            </w:tr>
            <w:tr>
              <w:tblPrEx>
                <w:tblCellMar>
                  <w:top w:w="0" w:type="dxa"/>
                  <w:left w:w="108" w:type="dxa"/>
                  <w:bottom w:w="0" w:type="dxa"/>
                  <w:right w:w="108" w:type="dxa"/>
                </w:tblCellMar>
              </w:tblPrEx>
              <w:trPr>
                <w:gridAfter w:val="3"/>
                <w:wAfter w:w="2773" w:type="dxa"/>
                <w:trHeight w:val="90" w:hRule="atLeast"/>
              </w:trPr>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尿常规+尿沉渣</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粪便常规+潜血</w:t>
                  </w:r>
                </w:p>
              </w:tc>
              <w:tc>
                <w:tcPr>
                  <w:tcW w:w="721"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实验室检查</w:t>
                  </w:r>
                </w:p>
              </w:tc>
              <w:tc>
                <w:tcPr>
                  <w:tcW w:w="727"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常规项目</w:t>
                  </w: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血常规五分类</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血脂</w:t>
                  </w:r>
                  <w:r>
                    <w:rPr>
                      <w:rFonts w:hint="eastAsia"/>
                      <w:color w:val="000000"/>
                      <w:sz w:val="21"/>
                      <w:highlight w:val="none"/>
                      <w:lang w:val="en-US" w:eastAsia="zh-CN"/>
                    </w:rPr>
                    <w:t>四</w:t>
                  </w:r>
                  <w:r>
                    <w:rPr>
                      <w:color w:val="000000"/>
                      <w:sz w:val="21"/>
                      <w:highlight w:val="none"/>
                    </w:rPr>
                    <w:t>项测定</w:t>
                  </w: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甘油三酯</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尿常规+尿沉渣</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总胆固醇</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粪便常规+潜血</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低密度脂蛋白</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血脂六项测定</w:t>
                  </w: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甘油三酯</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高密度脂蛋白</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总胆固醇</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载脂蛋白A1</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低密度脂蛋白</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载脂蛋白B</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高密度脂蛋白</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肝功能五项测定</w:t>
                  </w: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丙氨酸氨基转移酶</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载脂蛋白A1</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天门冬氨酸氨基转移酶</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载脂蛋白B</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r-谷氨酰转肽酶</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肝功能五项测定</w:t>
                  </w: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丙氨酸氨基转移酶</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总蛋白</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天门冬氨酸氨基转移酶</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白蛋白</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r-谷氨酰转肽酶</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肾功能三项测定</w:t>
                  </w: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尿酸</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总蛋白</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尿素</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白蛋白</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肌酐</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肾功能三项测定</w:t>
                  </w: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尿酸</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糖尿病</w:t>
                  </w:r>
                </w:p>
              </w:tc>
              <w:tc>
                <w:tcPr>
                  <w:tcW w:w="1368"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空腹血糖</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尿素</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vMerge w:val="continue"/>
                  <w:tcBorders>
                    <w:top w:val="nil"/>
                    <w:left w:val="single" w:color="000000" w:sz="4" w:space="0"/>
                    <w:bottom w:val="single" w:color="000000" w:sz="4" w:space="0"/>
                    <w:right w:val="single" w:color="000000" w:sz="4" w:space="0"/>
                  </w:tcBorders>
                </w:tcPr>
                <w:p>
                  <w:pPr>
                    <w:rPr>
                      <w:highlight w:val="none"/>
                    </w:rPr>
                  </w:pP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肌酐</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肿瘤筛查</w:t>
                  </w: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EB病毒抗体两项（VCA-IgA、NA1-IgA)</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糖尿病</w:t>
                  </w: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空腹血糖</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甲胎蛋白（化学发光法）</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糖化血红蛋白</w:t>
                  </w:r>
                </w:p>
              </w:tc>
            </w:tr>
            <w:tr>
              <w:tblPrEx>
                <w:tblCellMar>
                  <w:top w:w="0" w:type="dxa"/>
                  <w:left w:w="108" w:type="dxa"/>
                  <w:bottom w:w="0" w:type="dxa"/>
                  <w:right w:w="108" w:type="dxa"/>
                </w:tblCellMar>
              </w:tblPrEx>
              <w:trPr>
                <w:gridAfter w:val="3"/>
                <w:wAfter w:w="2773" w:type="dxa"/>
              </w:trPr>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癌胚抗原（化学发光法）</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糖类抗原199</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甲功三项</w:t>
                  </w:r>
                </w:p>
              </w:tc>
              <w:tc>
                <w:tcPr>
                  <w:tcW w:w="1325"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游离三碘甲状腺原氨酸</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甲功三项（男性未婚女性）</w:t>
                  </w: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游离三碘甲状腺原氨酸</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游离甲状腺素（T4）</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游离甲状腺素（T4）</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促甲状腺激素（TSH）</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促甲状腺激素（TSH）</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肿瘤筛查</w:t>
                  </w: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EB病毒抗体两项（VCA-IgA、NA1-IgA)</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采血费</w:t>
                  </w: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采血费B</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甲胎蛋白（化学发光法）</w:t>
                  </w:r>
                </w:p>
              </w:tc>
            </w:tr>
            <w:tr>
              <w:tblPrEx>
                <w:tblCellMar>
                  <w:top w:w="0" w:type="dxa"/>
                  <w:left w:w="108" w:type="dxa"/>
                  <w:bottom w:w="0" w:type="dxa"/>
                  <w:right w:w="108" w:type="dxa"/>
                </w:tblCellMar>
              </w:tblPrEx>
              <w:tc>
                <w:tcPr>
                  <w:tcW w:w="720"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女性专项</w:t>
                  </w:r>
                </w:p>
              </w:tc>
              <w:tc>
                <w:tcPr>
                  <w:tcW w:w="732"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乳腺检查</w:t>
                  </w:r>
                </w:p>
              </w:tc>
              <w:tc>
                <w:tcPr>
                  <w:tcW w:w="1368"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彩超乳腺检查（双侧）</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癌胚抗原（化学发光法）</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vMerge w:val="continue"/>
                  <w:tcBorders>
                    <w:top w:val="nil"/>
                    <w:left w:val="single" w:color="000000" w:sz="4" w:space="0"/>
                    <w:bottom w:val="single" w:color="000000" w:sz="4" w:space="0"/>
                    <w:right w:val="single" w:color="000000" w:sz="4" w:space="0"/>
                  </w:tcBorders>
                </w:tcPr>
                <w:p>
                  <w:pPr>
                    <w:rPr>
                      <w:highlight w:val="none"/>
                    </w:rPr>
                  </w:pP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糖类抗原199</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vMerge w:val="continue"/>
                  <w:tcBorders>
                    <w:top w:val="nil"/>
                    <w:left w:val="single" w:color="000000" w:sz="4" w:space="0"/>
                    <w:bottom w:val="single" w:color="000000" w:sz="4" w:space="0"/>
                    <w:right w:val="single" w:color="000000" w:sz="4" w:space="0"/>
                  </w:tcBorders>
                </w:tcPr>
                <w:p>
                  <w:pPr>
                    <w:rPr>
                      <w:highlight w:val="none"/>
                    </w:rPr>
                  </w:pP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restart"/>
                  <w:tcBorders>
                    <w:top w:val="nil"/>
                    <w:left w:val="single" w:color="000000" w:sz="4" w:space="0"/>
                    <w:bottom w:val="single" w:color="000000" w:sz="4" w:space="0"/>
                    <w:right w:val="single" w:color="000000" w:sz="4" w:space="0"/>
                  </w:tcBorders>
                  <w:vAlign w:val="center"/>
                </w:tcPr>
                <w:p>
                  <w:pPr>
                    <w:jc w:val="left"/>
                    <w:rPr>
                      <w:highlight w:val="none"/>
                    </w:rPr>
                  </w:pPr>
                  <w:r>
                    <w:rPr>
                      <w:color w:val="000000"/>
                      <w:sz w:val="21"/>
                      <w:highlight w:val="none"/>
                    </w:rPr>
                    <w:t>心血管疾病风险评估</w:t>
                  </w: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同型半胱氨酸</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vMerge w:val="continue"/>
                  <w:tcBorders>
                    <w:top w:val="nil"/>
                    <w:left w:val="single" w:color="000000" w:sz="4" w:space="0"/>
                    <w:bottom w:val="single" w:color="000000" w:sz="4" w:space="0"/>
                    <w:right w:val="single" w:color="000000" w:sz="4" w:space="0"/>
                  </w:tcBorders>
                </w:tcPr>
                <w:p>
                  <w:pPr>
                    <w:rPr>
                      <w:highlight w:val="none"/>
                    </w:rPr>
                  </w:pP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心肌酶五项</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vMerge w:val="continue"/>
                  <w:tcBorders>
                    <w:top w:val="nil"/>
                    <w:left w:val="single" w:color="000000" w:sz="4" w:space="0"/>
                    <w:bottom w:val="single" w:color="000000" w:sz="4" w:space="0"/>
                    <w:right w:val="single" w:color="000000" w:sz="4" w:space="0"/>
                  </w:tcBorders>
                </w:tcPr>
                <w:p>
                  <w:pPr>
                    <w:rPr>
                      <w:highlight w:val="none"/>
                    </w:rPr>
                  </w:pP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免疫</w:t>
                  </w: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抗核抗体测定（ANA）</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妇科常规（已婚女性）</w:t>
                  </w: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妇科检查</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采血费</w:t>
                  </w:r>
                </w:p>
              </w:tc>
              <w:tc>
                <w:tcPr>
                  <w:tcW w:w="1325"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采血费B</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液基薄层细胞学检测(TCT)</w:t>
                  </w:r>
                </w:p>
              </w:tc>
              <w:tc>
                <w:tcPr>
                  <w:tcW w:w="721"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女性专项</w:t>
                  </w:r>
                </w:p>
              </w:tc>
              <w:tc>
                <w:tcPr>
                  <w:tcW w:w="727"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乳腺检查</w:t>
                  </w:r>
                </w:p>
              </w:tc>
              <w:tc>
                <w:tcPr>
                  <w:tcW w:w="1325"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彩超乳腺检查（双侧）</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1"/>
                      <w:highlight w:val="none"/>
                    </w:rPr>
                  </w:pPr>
                </w:p>
              </w:tc>
              <w:tc>
                <w:tcPr>
                  <w:tcW w:w="721" w:type="dxa"/>
                  <w:vMerge w:val="continue"/>
                  <w:tcBorders>
                    <w:left w:val="single" w:color="000000" w:sz="4" w:space="0"/>
                    <w:right w:val="single" w:color="000000" w:sz="4" w:space="0"/>
                  </w:tcBorders>
                  <w:vAlign w:val="center"/>
                </w:tcPr>
                <w:p>
                  <w:pPr>
                    <w:jc w:val="center"/>
                    <w:rPr>
                      <w:color w:val="000000"/>
                      <w:sz w:val="21"/>
                      <w:highlight w:val="none"/>
                    </w:rPr>
                  </w:pPr>
                </w:p>
              </w:tc>
              <w:tc>
                <w:tcPr>
                  <w:tcW w:w="727" w:type="dxa"/>
                  <w:vMerge w:val="continue"/>
                  <w:tcBorders>
                    <w:left w:val="single" w:color="000000" w:sz="4" w:space="0"/>
                    <w:right w:val="single" w:color="000000" w:sz="4" w:space="0"/>
                  </w:tcBorders>
                  <w:vAlign w:val="center"/>
                </w:tcPr>
                <w:p>
                  <w:pPr>
                    <w:jc w:val="center"/>
                    <w:rPr>
                      <w:color w:val="000000"/>
                      <w:sz w:val="21"/>
                      <w:highlight w:val="none"/>
                    </w:rPr>
                  </w:pPr>
                </w:p>
              </w:tc>
              <w:tc>
                <w:tcPr>
                  <w:tcW w:w="1325" w:type="dxa"/>
                  <w:vMerge w:val="continue"/>
                  <w:tcBorders>
                    <w:left w:val="single" w:color="000000" w:sz="4" w:space="0"/>
                    <w:right w:val="single" w:color="000000" w:sz="4" w:space="0"/>
                  </w:tcBorders>
                  <w:shd w:val="clear" w:color="auto" w:fill="FFFFFF"/>
                  <w:vAlign w:val="center"/>
                </w:tcPr>
                <w:p>
                  <w:pPr>
                    <w:jc w:val="center"/>
                    <w:rPr>
                      <w:color w:val="000000"/>
                      <w:sz w:val="21"/>
                      <w:highlight w:val="none"/>
                    </w:rPr>
                  </w:pP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1"/>
                      <w:highlight w:val="none"/>
                    </w:rPr>
                  </w:pPr>
                </w:p>
              </w:tc>
              <w:tc>
                <w:tcPr>
                  <w:tcW w:w="721" w:type="dxa"/>
                  <w:tcBorders>
                    <w:left w:val="single" w:color="000000" w:sz="4" w:space="0"/>
                    <w:right w:val="single" w:color="000000" w:sz="4" w:space="0"/>
                  </w:tcBorders>
                  <w:vAlign w:val="center"/>
                </w:tcPr>
                <w:p>
                  <w:pPr>
                    <w:jc w:val="center"/>
                    <w:rPr>
                      <w:color w:val="000000"/>
                      <w:sz w:val="21"/>
                      <w:highlight w:val="none"/>
                    </w:rPr>
                  </w:pPr>
                </w:p>
              </w:tc>
              <w:tc>
                <w:tcPr>
                  <w:tcW w:w="727" w:type="dxa"/>
                  <w:vMerge w:val="restart"/>
                  <w:tcBorders>
                    <w:left w:val="single" w:color="000000" w:sz="4" w:space="0"/>
                    <w:right w:val="single" w:color="000000" w:sz="4" w:space="0"/>
                  </w:tcBorders>
                  <w:vAlign w:val="center"/>
                </w:tcPr>
                <w:p>
                  <w:pPr>
                    <w:jc w:val="center"/>
                    <w:rPr>
                      <w:color w:val="000000"/>
                      <w:sz w:val="21"/>
                      <w:highlight w:val="none"/>
                    </w:rPr>
                  </w:pPr>
                  <w:r>
                    <w:rPr>
                      <w:color w:val="000000"/>
                      <w:sz w:val="21"/>
                      <w:highlight w:val="none"/>
                    </w:rPr>
                    <w:t>妇科常规</w:t>
                  </w:r>
                </w:p>
              </w:tc>
              <w:tc>
                <w:tcPr>
                  <w:tcW w:w="1325" w:type="dxa"/>
                  <w:tcBorders>
                    <w:left w:val="single" w:color="000000" w:sz="4" w:space="0"/>
                    <w:right w:val="single" w:color="000000" w:sz="4" w:space="0"/>
                  </w:tcBorders>
                  <w:shd w:val="clear" w:color="auto" w:fill="FFFFFF"/>
                  <w:vAlign w:val="center"/>
                </w:tcPr>
                <w:p>
                  <w:pPr>
                    <w:jc w:val="center"/>
                    <w:rPr>
                      <w:color w:val="000000"/>
                      <w:sz w:val="21"/>
                      <w:highlight w:val="none"/>
                    </w:rPr>
                  </w:pPr>
                  <w:r>
                    <w:rPr>
                      <w:color w:val="000000"/>
                      <w:sz w:val="21"/>
                      <w:highlight w:val="none"/>
                    </w:rPr>
                    <w:t>妇科检查</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1"/>
                      <w:highlight w:val="none"/>
                    </w:rPr>
                  </w:pPr>
                </w:p>
              </w:tc>
              <w:tc>
                <w:tcPr>
                  <w:tcW w:w="721" w:type="dxa"/>
                  <w:tcBorders>
                    <w:left w:val="single" w:color="000000" w:sz="4" w:space="0"/>
                    <w:right w:val="single" w:color="000000" w:sz="4" w:space="0"/>
                  </w:tcBorders>
                  <w:vAlign w:val="center"/>
                </w:tcPr>
                <w:p>
                  <w:pPr>
                    <w:jc w:val="center"/>
                    <w:rPr>
                      <w:color w:val="000000"/>
                      <w:sz w:val="21"/>
                      <w:highlight w:val="none"/>
                    </w:rPr>
                  </w:pPr>
                </w:p>
              </w:tc>
              <w:tc>
                <w:tcPr>
                  <w:tcW w:w="727" w:type="dxa"/>
                  <w:vMerge w:val="continue"/>
                  <w:tcBorders>
                    <w:left w:val="single" w:color="000000" w:sz="4" w:space="0"/>
                    <w:right w:val="single" w:color="000000" w:sz="4" w:space="0"/>
                  </w:tcBorders>
                  <w:vAlign w:val="center"/>
                </w:tcPr>
                <w:p>
                  <w:pPr>
                    <w:jc w:val="center"/>
                    <w:rPr>
                      <w:color w:val="000000"/>
                      <w:sz w:val="21"/>
                      <w:highlight w:val="none"/>
                    </w:rPr>
                  </w:pPr>
                </w:p>
              </w:tc>
              <w:tc>
                <w:tcPr>
                  <w:tcW w:w="1325" w:type="dxa"/>
                  <w:tcBorders>
                    <w:left w:val="single" w:color="000000" w:sz="4" w:space="0"/>
                    <w:right w:val="single" w:color="000000" w:sz="4" w:space="0"/>
                  </w:tcBorders>
                  <w:shd w:val="clear" w:color="auto" w:fill="FFFFFF"/>
                  <w:vAlign w:val="center"/>
                </w:tcPr>
                <w:p>
                  <w:pPr>
                    <w:jc w:val="center"/>
                    <w:rPr>
                      <w:color w:val="000000"/>
                      <w:sz w:val="21"/>
                      <w:highlight w:val="none"/>
                    </w:rPr>
                  </w:pPr>
                  <w:r>
                    <w:rPr>
                      <w:color w:val="000000"/>
                      <w:sz w:val="21"/>
                      <w:highlight w:val="none"/>
                    </w:rPr>
                    <w:t>液基薄层细胞学检测(TCT)</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1"/>
                      <w:highlight w:val="none"/>
                    </w:rPr>
                  </w:pPr>
                </w:p>
              </w:tc>
              <w:tc>
                <w:tcPr>
                  <w:tcW w:w="721" w:type="dxa"/>
                  <w:tcBorders>
                    <w:left w:val="single" w:color="000000" w:sz="4" w:space="0"/>
                    <w:right w:val="single" w:color="000000" w:sz="4" w:space="0"/>
                  </w:tcBorders>
                  <w:vAlign w:val="center"/>
                </w:tcPr>
                <w:p>
                  <w:pPr>
                    <w:jc w:val="center"/>
                    <w:rPr>
                      <w:color w:val="000000"/>
                      <w:sz w:val="21"/>
                      <w:highlight w:val="none"/>
                    </w:rPr>
                  </w:pPr>
                </w:p>
              </w:tc>
              <w:tc>
                <w:tcPr>
                  <w:tcW w:w="727" w:type="dxa"/>
                  <w:vMerge w:val="continue"/>
                  <w:tcBorders>
                    <w:left w:val="single" w:color="000000" w:sz="4" w:space="0"/>
                    <w:right w:val="single" w:color="000000" w:sz="4" w:space="0"/>
                  </w:tcBorders>
                  <w:vAlign w:val="center"/>
                </w:tcPr>
                <w:p>
                  <w:pPr>
                    <w:jc w:val="center"/>
                    <w:rPr>
                      <w:color w:val="000000"/>
                      <w:sz w:val="21"/>
                      <w:highlight w:val="none"/>
                    </w:rPr>
                  </w:pPr>
                </w:p>
              </w:tc>
              <w:tc>
                <w:tcPr>
                  <w:tcW w:w="1325" w:type="dxa"/>
                  <w:tcBorders>
                    <w:left w:val="single" w:color="000000" w:sz="4" w:space="0"/>
                    <w:right w:val="single" w:color="000000" w:sz="4" w:space="0"/>
                  </w:tcBorders>
                  <w:shd w:val="clear" w:color="auto" w:fill="FFFFFF"/>
                  <w:vAlign w:val="center"/>
                </w:tcPr>
                <w:p>
                  <w:pPr>
                    <w:jc w:val="center"/>
                    <w:rPr>
                      <w:color w:val="000000"/>
                      <w:sz w:val="21"/>
                      <w:highlight w:val="none"/>
                    </w:rPr>
                  </w:pPr>
                  <w:r>
                    <w:rPr>
                      <w:color w:val="000000"/>
                      <w:sz w:val="21"/>
                      <w:highlight w:val="none"/>
                    </w:rPr>
                    <w:t>人乳头瘤病毒分型（HPV16+18型)</w:t>
                  </w:r>
                </w:p>
              </w:tc>
            </w:tr>
            <w:tr>
              <w:tblPrEx>
                <w:tblCellMar>
                  <w:top w:w="0" w:type="dxa"/>
                  <w:left w:w="108" w:type="dxa"/>
                  <w:bottom w:w="0" w:type="dxa"/>
                  <w:right w:w="108" w:type="dxa"/>
                </w:tblCellMar>
              </w:tblPrEx>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1"/>
                      <w:highlight w:val="none"/>
                    </w:rPr>
                  </w:pPr>
                </w:p>
              </w:tc>
              <w:tc>
                <w:tcPr>
                  <w:tcW w:w="721" w:type="dxa"/>
                  <w:tcBorders>
                    <w:left w:val="single" w:color="000000" w:sz="4" w:space="0"/>
                    <w:right w:val="single" w:color="000000" w:sz="4" w:space="0"/>
                  </w:tcBorders>
                  <w:vAlign w:val="center"/>
                </w:tcPr>
                <w:p>
                  <w:pPr>
                    <w:jc w:val="center"/>
                    <w:rPr>
                      <w:color w:val="000000"/>
                      <w:sz w:val="21"/>
                      <w:highlight w:val="none"/>
                    </w:rPr>
                  </w:pPr>
                </w:p>
              </w:tc>
              <w:tc>
                <w:tcPr>
                  <w:tcW w:w="727" w:type="dxa"/>
                  <w:vMerge w:val="continue"/>
                  <w:tcBorders>
                    <w:left w:val="single" w:color="000000" w:sz="4" w:space="0"/>
                    <w:right w:val="single" w:color="000000" w:sz="4" w:space="0"/>
                  </w:tcBorders>
                  <w:vAlign w:val="center"/>
                </w:tcPr>
                <w:p>
                  <w:pPr>
                    <w:jc w:val="center"/>
                    <w:rPr>
                      <w:color w:val="000000"/>
                      <w:sz w:val="21"/>
                      <w:highlight w:val="none"/>
                    </w:rPr>
                  </w:pPr>
                </w:p>
              </w:tc>
              <w:tc>
                <w:tcPr>
                  <w:tcW w:w="1325" w:type="dxa"/>
                  <w:tcBorders>
                    <w:left w:val="single" w:color="000000" w:sz="4" w:space="0"/>
                    <w:right w:val="single" w:color="000000" w:sz="4" w:space="0"/>
                  </w:tcBorders>
                  <w:shd w:val="clear" w:color="auto" w:fill="FFFFFF"/>
                  <w:vAlign w:val="center"/>
                </w:tcPr>
                <w:p>
                  <w:pPr>
                    <w:jc w:val="center"/>
                    <w:rPr>
                      <w:color w:val="000000"/>
                      <w:sz w:val="21"/>
                      <w:highlight w:val="none"/>
                    </w:rPr>
                  </w:pPr>
                  <w:r>
                    <w:rPr>
                      <w:color w:val="000000"/>
                      <w:sz w:val="21"/>
                      <w:highlight w:val="none"/>
                    </w:rPr>
                    <w:t>妇科小结</w:t>
                  </w:r>
                </w:p>
              </w:tc>
            </w:tr>
            <w:tr>
              <w:tblPrEx>
                <w:tblCellMar>
                  <w:top w:w="0" w:type="dxa"/>
                  <w:left w:w="108" w:type="dxa"/>
                  <w:bottom w:w="0" w:type="dxa"/>
                  <w:right w:w="108" w:type="dxa"/>
                </w:tblCellMar>
              </w:tblPrEx>
              <w:trPr>
                <w:gridAfter w:val="3"/>
                <w:wAfter w:w="2773" w:type="dxa"/>
              </w:trPr>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人乳头瘤病毒分型（HPV16+18型)</w:t>
                  </w:r>
                </w:p>
              </w:tc>
            </w:tr>
            <w:tr>
              <w:tblPrEx>
                <w:tblCellMar>
                  <w:top w:w="0" w:type="dxa"/>
                  <w:left w:w="108" w:type="dxa"/>
                  <w:bottom w:w="0" w:type="dxa"/>
                  <w:right w:w="108" w:type="dxa"/>
                </w:tblCellMar>
              </w:tblPrEx>
              <w:trPr>
                <w:gridAfter w:val="3"/>
                <w:wAfter w:w="2773" w:type="dxa"/>
              </w:trPr>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妇科小结</w:t>
                  </w:r>
                </w:p>
              </w:tc>
            </w:tr>
            <w:tr>
              <w:tblPrEx>
                <w:tblCellMar>
                  <w:top w:w="0" w:type="dxa"/>
                  <w:left w:w="108" w:type="dxa"/>
                  <w:bottom w:w="0" w:type="dxa"/>
                  <w:right w:w="108" w:type="dxa"/>
                </w:tblCellMar>
              </w:tblPrEx>
              <w:tc>
                <w:tcPr>
                  <w:tcW w:w="720"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男性专项</w:t>
                  </w:r>
                </w:p>
              </w:tc>
              <w:tc>
                <w:tcPr>
                  <w:tcW w:w="732"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肿瘤筛查</w:t>
                  </w:r>
                </w:p>
              </w:tc>
              <w:tc>
                <w:tcPr>
                  <w:tcW w:w="1368" w:type="dxa"/>
                  <w:tcBorders>
                    <w:top w:val="nil"/>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总前列腺特异抗原（TPSA)</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trHeight w:val="336" w:hRule="atLeast"/>
              </w:trPr>
              <w:tc>
                <w:tcPr>
                  <w:tcW w:w="720" w:type="dxa"/>
                  <w:vMerge w:val="continue"/>
                  <w:tcBorders>
                    <w:top w:val="nil"/>
                    <w:left w:val="single" w:color="000000" w:sz="4" w:space="0"/>
                    <w:bottom w:val="single" w:color="000000" w:sz="4" w:space="0"/>
                    <w:right w:val="single" w:color="000000" w:sz="4" w:space="0"/>
                  </w:tcBorders>
                </w:tcPr>
                <w:p>
                  <w:pPr>
                    <w:rPr>
                      <w:highlight w:val="none"/>
                    </w:rPr>
                  </w:pPr>
                </w:p>
              </w:tc>
              <w:tc>
                <w:tcPr>
                  <w:tcW w:w="732" w:type="dxa"/>
                  <w:vMerge w:val="continue"/>
                  <w:tcBorders>
                    <w:top w:val="nil"/>
                    <w:left w:val="single" w:color="000000" w:sz="4" w:space="0"/>
                    <w:bottom w:val="single" w:color="000000" w:sz="4" w:space="0"/>
                    <w:right w:val="single" w:color="000000" w:sz="4" w:space="0"/>
                  </w:tcBorders>
                </w:tcPr>
                <w:p>
                  <w:pPr>
                    <w:rPr>
                      <w:highlight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highlight w:val="none"/>
                    </w:rPr>
                  </w:pPr>
                  <w:r>
                    <w:rPr>
                      <w:color w:val="000000"/>
                      <w:sz w:val="21"/>
                      <w:highlight w:val="none"/>
                    </w:rPr>
                    <w:t>游离前列腺特异抗原（FPSA)</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c>
                <w:tcPr>
                  <w:tcW w:w="2820" w:type="dxa"/>
                  <w:gridSpan w:val="3"/>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b/>
                      <w:color w:val="000000"/>
                      <w:sz w:val="21"/>
                      <w:highlight w:val="none"/>
                    </w:rPr>
                    <w:t>套餐体检费用以实际参检人数核计（限价1</w:t>
                  </w:r>
                  <w:r>
                    <w:rPr>
                      <w:rFonts w:hint="eastAsia"/>
                      <w:b/>
                      <w:color w:val="000000"/>
                      <w:sz w:val="21"/>
                      <w:highlight w:val="none"/>
                      <w:lang w:val="en-US" w:eastAsia="zh-CN"/>
                    </w:rPr>
                    <w:t>860</w:t>
                  </w:r>
                  <w:r>
                    <w:rPr>
                      <w:b/>
                      <w:color w:val="000000"/>
                      <w:sz w:val="21"/>
                      <w:highlight w:val="none"/>
                    </w:rPr>
                    <w:t>元/人）</w:t>
                  </w: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c>
                <w:tcPr>
                  <w:tcW w:w="2820" w:type="dxa"/>
                  <w:gridSpan w:val="3"/>
                  <w:vMerge w:val="continue"/>
                  <w:tcBorders>
                    <w:top w:val="nil"/>
                    <w:left w:val="single" w:color="000000" w:sz="4" w:space="0"/>
                    <w:bottom w:val="single" w:color="000000" w:sz="4" w:space="0"/>
                    <w:right w:val="single" w:color="000000" w:sz="4" w:space="0"/>
                  </w:tcBorders>
                </w:tcPr>
                <w:p>
                  <w:pPr>
                    <w:rPr>
                      <w:highlight w:val="none"/>
                    </w:rPr>
                  </w:pP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c>
                <w:tcPr>
                  <w:tcW w:w="2820" w:type="dxa"/>
                  <w:gridSpan w:val="3"/>
                  <w:vMerge w:val="continue"/>
                  <w:tcBorders>
                    <w:top w:val="nil"/>
                    <w:left w:val="single" w:color="000000" w:sz="4" w:space="0"/>
                    <w:bottom w:val="single" w:color="000000" w:sz="4" w:space="0"/>
                    <w:right w:val="single" w:color="000000" w:sz="4" w:space="0"/>
                  </w:tcBorders>
                </w:tcPr>
                <w:p>
                  <w:pPr>
                    <w:rPr>
                      <w:highlight w:val="none"/>
                    </w:rPr>
                  </w:pPr>
                </w:p>
              </w:tc>
              <w:tc>
                <w:tcPr>
                  <w:tcW w:w="721"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男性专项</w:t>
                  </w:r>
                </w:p>
              </w:tc>
              <w:tc>
                <w:tcPr>
                  <w:tcW w:w="727" w:type="dxa"/>
                  <w:vMerge w:val="restart"/>
                  <w:tcBorders>
                    <w:top w:val="nil"/>
                    <w:left w:val="single" w:color="000000" w:sz="4" w:space="0"/>
                    <w:bottom w:val="single" w:color="000000" w:sz="4" w:space="0"/>
                    <w:right w:val="single" w:color="000000" w:sz="4" w:space="0"/>
                  </w:tcBorders>
                  <w:vAlign w:val="center"/>
                </w:tcPr>
                <w:p>
                  <w:pPr>
                    <w:jc w:val="center"/>
                    <w:rPr>
                      <w:highlight w:val="none"/>
                    </w:rPr>
                  </w:pPr>
                  <w:r>
                    <w:rPr>
                      <w:color w:val="000000"/>
                      <w:sz w:val="21"/>
                      <w:highlight w:val="none"/>
                    </w:rPr>
                    <w:t>肿瘤筛查</w:t>
                  </w:r>
                </w:p>
              </w:tc>
              <w:tc>
                <w:tcPr>
                  <w:tcW w:w="1325" w:type="dxa"/>
                  <w:tcBorders>
                    <w:top w:val="nil"/>
                    <w:left w:val="single" w:color="000000" w:sz="4" w:space="0"/>
                    <w:bottom w:val="single" w:color="000000" w:sz="4" w:space="0"/>
                    <w:right w:val="single" w:color="000000" w:sz="4" w:space="0"/>
                  </w:tcBorders>
                  <w:vAlign w:val="center"/>
                </w:tcPr>
                <w:p>
                  <w:pPr>
                    <w:jc w:val="left"/>
                    <w:rPr>
                      <w:highlight w:val="none"/>
                    </w:rPr>
                  </w:pPr>
                  <w:r>
                    <w:rPr>
                      <w:color w:val="000000"/>
                      <w:sz w:val="21"/>
                      <w:highlight w:val="none"/>
                    </w:rPr>
                    <w:t>总前列腺特异抗原（TPSA)</w:t>
                  </w:r>
                </w:p>
              </w:tc>
            </w:tr>
            <w:tr>
              <w:tblPrEx>
                <w:tblCellMar>
                  <w:top w:w="0" w:type="dxa"/>
                  <w:left w:w="108" w:type="dxa"/>
                  <w:bottom w:w="0" w:type="dxa"/>
                  <w:right w:w="108" w:type="dxa"/>
                </w:tblCellMar>
              </w:tblPrEx>
              <w:tc>
                <w:tcPr>
                  <w:tcW w:w="2820" w:type="dxa"/>
                  <w:gridSpan w:val="3"/>
                  <w:vMerge w:val="continue"/>
                  <w:tcBorders>
                    <w:top w:val="nil"/>
                    <w:left w:val="single" w:color="000000" w:sz="4" w:space="0"/>
                    <w:bottom w:val="single" w:color="000000" w:sz="4" w:space="0"/>
                    <w:right w:val="single" w:color="000000" w:sz="4" w:space="0"/>
                  </w:tcBorders>
                </w:tcPr>
                <w:p>
                  <w:pPr>
                    <w:rPr>
                      <w:highlight w:val="none"/>
                    </w:rPr>
                  </w:pP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left"/>
                    <w:rPr>
                      <w:highlight w:val="none"/>
                    </w:rPr>
                  </w:pPr>
                  <w:r>
                    <w:rPr>
                      <w:color w:val="000000"/>
                      <w:sz w:val="21"/>
                      <w:highlight w:val="none"/>
                    </w:rPr>
                    <w:t>游离前列腺特异抗原（FPSA)</w:t>
                  </w:r>
                </w:p>
              </w:tc>
            </w:tr>
            <w:tr>
              <w:tblPrEx>
                <w:tblCellMar>
                  <w:top w:w="0" w:type="dxa"/>
                  <w:left w:w="108" w:type="dxa"/>
                  <w:bottom w:w="0" w:type="dxa"/>
                  <w:right w:w="108" w:type="dxa"/>
                </w:tblCellMar>
              </w:tblPrEx>
              <w:tc>
                <w:tcPr>
                  <w:tcW w:w="2820" w:type="dxa"/>
                  <w:gridSpan w:val="3"/>
                  <w:vMerge w:val="continue"/>
                  <w:tcBorders>
                    <w:top w:val="nil"/>
                    <w:left w:val="single" w:color="000000" w:sz="4" w:space="0"/>
                    <w:bottom w:val="single" w:color="000000" w:sz="4" w:space="0"/>
                    <w:right w:val="single" w:color="000000" w:sz="4" w:space="0"/>
                  </w:tcBorders>
                </w:tcPr>
                <w:p>
                  <w:pPr>
                    <w:rPr>
                      <w:highlight w:val="none"/>
                    </w:rPr>
                  </w:pP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left"/>
                    <w:rPr>
                      <w:highlight w:val="none"/>
                    </w:rPr>
                  </w:pPr>
                  <w:r>
                    <w:rPr>
                      <w:color w:val="000000"/>
                      <w:sz w:val="21"/>
                      <w:highlight w:val="none"/>
                    </w:rPr>
                    <w:t>神经元特异性烯醇化酶（NSE）</w:t>
                  </w:r>
                </w:p>
              </w:tc>
            </w:tr>
            <w:tr>
              <w:tblPrEx>
                <w:tblCellMar>
                  <w:top w:w="0" w:type="dxa"/>
                  <w:left w:w="108" w:type="dxa"/>
                  <w:bottom w:w="0" w:type="dxa"/>
                  <w:right w:w="108" w:type="dxa"/>
                </w:tblCellMar>
              </w:tblPrEx>
              <w:tc>
                <w:tcPr>
                  <w:tcW w:w="2820" w:type="dxa"/>
                  <w:gridSpan w:val="3"/>
                  <w:vMerge w:val="continue"/>
                  <w:tcBorders>
                    <w:top w:val="nil"/>
                    <w:left w:val="single" w:color="000000" w:sz="4" w:space="0"/>
                    <w:bottom w:val="single" w:color="000000" w:sz="4" w:space="0"/>
                    <w:right w:val="single" w:color="000000" w:sz="4" w:space="0"/>
                  </w:tcBorders>
                </w:tcPr>
                <w:p>
                  <w:pPr>
                    <w:rPr>
                      <w:highlight w:val="none"/>
                    </w:rPr>
                  </w:pPr>
                </w:p>
              </w:tc>
              <w:tc>
                <w:tcPr>
                  <w:tcW w:w="721" w:type="dxa"/>
                  <w:vMerge w:val="continue"/>
                  <w:tcBorders>
                    <w:top w:val="nil"/>
                    <w:left w:val="single" w:color="000000" w:sz="4" w:space="0"/>
                    <w:bottom w:val="single" w:color="000000" w:sz="4" w:space="0"/>
                    <w:right w:val="single" w:color="000000" w:sz="4" w:space="0"/>
                  </w:tcBorders>
                </w:tcPr>
                <w:p>
                  <w:pPr>
                    <w:rPr>
                      <w:highlight w:val="none"/>
                    </w:rPr>
                  </w:pPr>
                </w:p>
              </w:tc>
              <w:tc>
                <w:tcPr>
                  <w:tcW w:w="727" w:type="dxa"/>
                  <w:vMerge w:val="continue"/>
                  <w:tcBorders>
                    <w:top w:val="nil"/>
                    <w:left w:val="single" w:color="000000" w:sz="4" w:space="0"/>
                    <w:bottom w:val="single" w:color="000000" w:sz="4" w:space="0"/>
                    <w:right w:val="single" w:color="000000" w:sz="4" w:space="0"/>
                  </w:tcBorders>
                </w:tcPr>
                <w:p>
                  <w:pPr>
                    <w:rPr>
                      <w:highlight w:val="none"/>
                    </w:rPr>
                  </w:pPr>
                </w:p>
              </w:tc>
              <w:tc>
                <w:tcPr>
                  <w:tcW w:w="1325" w:type="dxa"/>
                  <w:tcBorders>
                    <w:top w:val="nil"/>
                    <w:left w:val="single" w:color="000000" w:sz="4" w:space="0"/>
                    <w:bottom w:val="single" w:color="000000" w:sz="4" w:space="0"/>
                    <w:right w:val="single" w:color="000000" w:sz="4" w:space="0"/>
                  </w:tcBorders>
                  <w:vAlign w:val="center"/>
                </w:tcPr>
                <w:p>
                  <w:pPr>
                    <w:jc w:val="left"/>
                    <w:rPr>
                      <w:highlight w:val="none"/>
                    </w:rPr>
                  </w:pPr>
                  <w:r>
                    <w:rPr>
                      <w:color w:val="000000"/>
                      <w:sz w:val="21"/>
                      <w:highlight w:val="none"/>
                    </w:rPr>
                    <w:t>角蛋白抗原21-1（CF21-1）</w:t>
                  </w:r>
                </w:p>
              </w:tc>
            </w:tr>
            <w:tr>
              <w:tblPrEx>
                <w:tblCellMar>
                  <w:top w:w="0" w:type="dxa"/>
                  <w:left w:w="108" w:type="dxa"/>
                  <w:bottom w:w="0" w:type="dxa"/>
                  <w:right w:w="108" w:type="dxa"/>
                </w:tblCellMar>
              </w:tblPrEx>
              <w:tc>
                <w:tcPr>
                  <w:tcW w:w="2820" w:type="dxa"/>
                  <w:gridSpan w:val="3"/>
                  <w:vMerge w:val="continue"/>
                  <w:tcBorders>
                    <w:top w:val="nil"/>
                    <w:left w:val="single" w:color="000000" w:sz="4" w:space="0"/>
                    <w:bottom w:val="single" w:color="000000" w:sz="4" w:space="0"/>
                    <w:right w:val="single" w:color="000000" w:sz="4" w:space="0"/>
                  </w:tcBorders>
                </w:tcPr>
                <w:p>
                  <w:pPr>
                    <w:rPr>
                      <w:highlight w:val="none"/>
                    </w:rPr>
                  </w:pPr>
                </w:p>
              </w:tc>
              <w:tc>
                <w:tcPr>
                  <w:tcW w:w="2773" w:type="dxa"/>
                  <w:gridSpan w:val="3"/>
                  <w:tcBorders>
                    <w:top w:val="nil"/>
                    <w:left w:val="single" w:color="000000" w:sz="4" w:space="0"/>
                    <w:bottom w:val="single" w:color="000000" w:sz="4" w:space="0"/>
                    <w:right w:val="single" w:color="000000" w:sz="4" w:space="0"/>
                  </w:tcBorders>
                  <w:vAlign w:val="center"/>
                </w:tcPr>
                <w:p>
                  <w:pPr>
                    <w:jc w:val="center"/>
                    <w:rPr>
                      <w:highlight w:val="none"/>
                    </w:rPr>
                  </w:pPr>
                  <w:r>
                    <w:rPr>
                      <w:b/>
                      <w:color w:val="000000"/>
                      <w:sz w:val="21"/>
                      <w:highlight w:val="none"/>
                    </w:rPr>
                    <w:t xml:space="preserve">     套餐体检费用以实际参检人数核计（限价21</w:t>
                  </w:r>
                  <w:r>
                    <w:rPr>
                      <w:rFonts w:hint="eastAsia"/>
                      <w:b/>
                      <w:color w:val="000000"/>
                      <w:sz w:val="21"/>
                      <w:highlight w:val="none"/>
                      <w:lang w:val="en-US" w:eastAsia="zh-CN"/>
                    </w:rPr>
                    <w:t>10</w:t>
                  </w:r>
                  <w:r>
                    <w:rPr>
                      <w:b/>
                      <w:color w:val="000000"/>
                      <w:sz w:val="21"/>
                      <w:highlight w:val="none"/>
                    </w:rPr>
                    <w:t>元/人）</w:t>
                  </w:r>
                </w:p>
              </w:tc>
            </w:tr>
          </w:tbl>
          <w:p>
            <w:pPr>
              <w:rPr>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说明</w:t>
            </w:r>
          </w:p>
        </w:tc>
        <w:tc>
          <w:tcPr>
            <w:tcW w:w="6240" w:type="dxa"/>
            <w:gridSpan w:val="2"/>
          </w:tcPr>
          <w:p>
            <w:pPr>
              <w:jc w:val="left"/>
              <w:rPr>
                <w:rFonts w:hint="eastAsia" w:eastAsiaTheme="minorEastAsia"/>
                <w:lang w:eastAsia="zh-CN"/>
              </w:rPr>
            </w:pPr>
            <w:r>
              <w:t>打“★”号条款为实质性条款，若有任何一条负偏离或不满足则导致投标无效。</w:t>
            </w:r>
          </w:p>
          <w:p>
            <w:pPr>
              <w:jc w:val="left"/>
            </w:pPr>
            <w:r>
              <w:t>打“▲”号条款为重要技术参数，若有部分“▲”条款未响应或不满足，将导致其响应性评审加重扣分，但不作为无效投标条款。</w:t>
            </w:r>
          </w:p>
        </w:tc>
      </w:tr>
    </w:tbl>
    <w:p/>
    <w:p>
      <w:r>
        <w:t>采购包2（</w:t>
      </w:r>
      <w:r>
        <w:rPr>
          <w:rFonts w:hint="eastAsia"/>
        </w:rPr>
        <w:t>在编干部职工、合同人员及退休人员体检服务</w:t>
      </w:r>
      <w:r>
        <w:t>）</w:t>
      </w:r>
    </w:p>
    <w:p>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标的提供的时间</w:t>
            </w:r>
          </w:p>
        </w:tc>
        <w:tc>
          <w:tcPr>
            <w:tcW w:w="4153" w:type="dxa"/>
          </w:tcPr>
          <w:p/>
          <w:p>
            <w:r>
              <w:t>合同签订后至服务内容全部结束时间止。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标的提供的地点</w:t>
            </w:r>
          </w:p>
        </w:tc>
        <w:tc>
          <w:tcPr>
            <w:tcW w:w="4153" w:type="dxa"/>
          </w:tcPr>
          <w:p/>
          <w:p>
            <w:r>
              <w:t>广州市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付款方式</w:t>
            </w:r>
          </w:p>
        </w:tc>
        <w:tc>
          <w:tcPr>
            <w:tcW w:w="4153" w:type="dxa"/>
          </w:tcPr>
          <w:p>
            <w:r>
              <w:rPr>
                <w:highlight w:val="none"/>
              </w:rPr>
              <w:t>服务期结束后的15个工作日内，中标人向采购人提供完成的体检人数结算表及整体体检情况报告，采购人审核确认后</w:t>
            </w:r>
            <w:r>
              <w:rPr>
                <w:rFonts w:hint="eastAsia"/>
                <w:highlight w:val="none"/>
                <w:lang w:val="en-US" w:eastAsia="zh-CN"/>
              </w:rPr>
              <w:t>3</w:t>
            </w:r>
            <w:r>
              <w:rPr>
                <w:highlight w:val="none"/>
              </w:rPr>
              <w:t>0个工作日内一次性向中标人办理体检费用的支付手续。中标人凭以下有效文件与采购人结算：（1）合同；（2）中标人开具的正式发票；（3）费用结算清单（由中标人提供结算清单，由采购人确认并加盖公章）；（4）中标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验收要求</w:t>
            </w:r>
          </w:p>
        </w:tc>
        <w:tc>
          <w:tcPr>
            <w:tcW w:w="4153" w:type="dxa"/>
          </w:tcPr>
          <w:p>
            <w:r>
              <w:t>1期：所有服务完成后，采购人根据中标人的履约情况按照合同条款进行验收。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履约保证金</w:t>
            </w:r>
          </w:p>
        </w:tc>
        <w:tc>
          <w:tcPr>
            <w:tcW w:w="4153" w:type="dxa"/>
          </w:tcPr>
          <w:p>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其他</w:t>
            </w:r>
          </w:p>
        </w:tc>
        <w:tc>
          <w:tcPr>
            <w:tcW w:w="4153" w:type="dxa"/>
          </w:tcPr>
          <w:p>
            <w:r>
              <w:t>一、报价要求，1、供应商报价应包括完成该体检项目所需的一切费用（含一次性消耗用品费、检查仪器费、检测费、人工费、食宿费等），漏报或少报的费用，视此费用已包含在汇总价格、投标总价中。 2、要求各投标人报出各体检套餐总价及按计划人数的总投标报价。结算时按实际体检人数及套餐金额进行结算。</w:t>
            </w:r>
          </w:p>
        </w:tc>
      </w:tr>
    </w:tbl>
    <w:p>
      <w:pPr>
        <w:rPr>
          <w:b/>
        </w:rPr>
      </w:pPr>
    </w:p>
    <w:p>
      <w:r>
        <w:rPr>
          <w:b/>
        </w:rPr>
        <w:t>2.技术标准与要求</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5"/>
        <w:gridCol w:w="1235"/>
        <w:gridCol w:w="1235"/>
        <w:gridCol w:w="1235"/>
        <w:gridCol w:w="1235"/>
        <w:gridCol w:w="1110"/>
        <w:gridCol w:w="12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24" w:type="pct"/>
          </w:tcPr>
          <w:p>
            <w:pPr>
              <w:jc w:val="center"/>
            </w:pPr>
            <w:r>
              <w:t>序号</w:t>
            </w:r>
          </w:p>
        </w:tc>
        <w:tc>
          <w:tcPr>
            <w:tcW w:w="724" w:type="pct"/>
          </w:tcPr>
          <w:p>
            <w:pPr>
              <w:jc w:val="center"/>
            </w:pPr>
            <w:r>
              <w:t>品目名称</w:t>
            </w:r>
          </w:p>
        </w:tc>
        <w:tc>
          <w:tcPr>
            <w:tcW w:w="724" w:type="pct"/>
          </w:tcPr>
          <w:p>
            <w:pPr>
              <w:jc w:val="center"/>
            </w:pPr>
            <w:r>
              <w:t>标的名称</w:t>
            </w:r>
          </w:p>
        </w:tc>
        <w:tc>
          <w:tcPr>
            <w:tcW w:w="724" w:type="pct"/>
          </w:tcPr>
          <w:p>
            <w:pPr>
              <w:jc w:val="center"/>
            </w:pPr>
            <w:r>
              <w:t>单位</w:t>
            </w:r>
          </w:p>
        </w:tc>
        <w:tc>
          <w:tcPr>
            <w:tcW w:w="724" w:type="pct"/>
          </w:tcPr>
          <w:p>
            <w:pPr>
              <w:jc w:val="center"/>
            </w:pPr>
            <w:r>
              <w:t>数量</w:t>
            </w:r>
          </w:p>
        </w:tc>
        <w:tc>
          <w:tcPr>
            <w:tcW w:w="651" w:type="pct"/>
          </w:tcPr>
          <w:p>
            <w:r>
              <w:t>所属行业</w:t>
            </w:r>
          </w:p>
        </w:tc>
        <w:tc>
          <w:tcPr>
            <w:tcW w:w="724" w:type="pct"/>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4" w:type="pct"/>
          </w:tcPr>
          <w:p>
            <w:pPr>
              <w:jc w:val="center"/>
            </w:pPr>
            <w:r>
              <w:t>1</w:t>
            </w:r>
          </w:p>
        </w:tc>
        <w:tc>
          <w:tcPr>
            <w:tcW w:w="724" w:type="pct"/>
          </w:tcPr>
          <w:p>
            <w:pPr>
              <w:jc w:val="left"/>
            </w:pPr>
            <w:r>
              <w:t>体检服务</w:t>
            </w:r>
          </w:p>
        </w:tc>
        <w:tc>
          <w:tcPr>
            <w:tcW w:w="724" w:type="pct"/>
          </w:tcPr>
          <w:p>
            <w:pPr>
              <w:jc w:val="left"/>
            </w:pPr>
            <w:r>
              <w:rPr>
                <w:rFonts w:hint="eastAsia"/>
              </w:rPr>
              <w:t>在编干部职工、合同人员及退休人员体检服务</w:t>
            </w:r>
          </w:p>
        </w:tc>
        <w:tc>
          <w:tcPr>
            <w:tcW w:w="724" w:type="pct"/>
          </w:tcPr>
          <w:p>
            <w:pPr>
              <w:jc w:val="left"/>
            </w:pPr>
            <w:r>
              <w:t>项</w:t>
            </w:r>
          </w:p>
        </w:tc>
        <w:tc>
          <w:tcPr>
            <w:tcW w:w="724" w:type="pct"/>
          </w:tcPr>
          <w:p>
            <w:pPr>
              <w:jc w:val="right"/>
            </w:pPr>
            <w:r>
              <w:t>1.00</w:t>
            </w:r>
          </w:p>
        </w:tc>
        <w:tc>
          <w:tcPr>
            <w:tcW w:w="651" w:type="pct"/>
          </w:tcPr>
          <w:p>
            <w:r>
              <w:t>其他未列明行业</w:t>
            </w:r>
          </w:p>
        </w:tc>
        <w:tc>
          <w:tcPr>
            <w:tcW w:w="724" w:type="pct"/>
          </w:tcPr>
          <w:p>
            <w:r>
              <w:t>详见附表一</w:t>
            </w:r>
          </w:p>
        </w:tc>
      </w:tr>
    </w:tbl>
    <w:p/>
    <w:p>
      <w:r>
        <w:rPr>
          <w:b/>
        </w:rPr>
        <w:t>附表一：</w:t>
      </w:r>
      <w:r>
        <w:rPr>
          <w:rFonts w:hint="eastAsia"/>
          <w:b/>
          <w:bCs/>
        </w:rPr>
        <w:t>在编干部职工、合同人员及退休人员体检服务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r>
              <w:t>参数性质</w:t>
            </w:r>
          </w:p>
        </w:tc>
        <w:tc>
          <w:tcPr>
            <w:tcW w:w="415" w:type="dxa"/>
          </w:tcPr>
          <w:p>
            <w:r>
              <w:t>序号</w:t>
            </w:r>
          </w:p>
        </w:tc>
        <w:tc>
          <w:tcPr>
            <w:tcW w:w="581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1</w:t>
            </w:r>
          </w:p>
        </w:tc>
        <w:tc>
          <w:tcPr>
            <w:tcW w:w="5814" w:type="dxa"/>
          </w:tcPr>
          <w:p>
            <w:r>
              <w:rPr>
                <w:b/>
                <w:sz w:val="24"/>
              </w:rPr>
              <w:t>一、采购内容及采购预算</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91"/>
              <w:gridCol w:w="1536"/>
              <w:gridCol w:w="993"/>
              <w:gridCol w:w="1028"/>
              <w:gridCol w:w="94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4" w:type="dxa"/>
                  <w:tcBorders>
                    <w:top w:val="single" w:color="000000" w:sz="8" w:space="0"/>
                    <w:left w:val="single" w:color="000000" w:sz="8" w:space="0"/>
                    <w:bottom w:val="single" w:color="000000" w:sz="4" w:space="0"/>
                    <w:right w:val="single" w:color="000000" w:sz="4" w:space="0"/>
                  </w:tcBorders>
                  <w:vAlign w:val="top"/>
                </w:tcPr>
                <w:p>
                  <w:pPr>
                    <w:jc w:val="center"/>
                  </w:pPr>
                  <w:r>
                    <w:rPr>
                      <w:sz w:val="22"/>
                    </w:rPr>
                    <w:t>内容</w:t>
                  </w:r>
                </w:p>
              </w:tc>
              <w:tc>
                <w:tcPr>
                  <w:tcW w:w="1541" w:type="dxa"/>
                  <w:tcBorders>
                    <w:top w:val="single" w:color="000000" w:sz="8" w:space="0"/>
                    <w:left w:val="single" w:color="000000" w:sz="4" w:space="0"/>
                    <w:bottom w:val="single" w:color="000000" w:sz="4" w:space="0"/>
                    <w:right w:val="single" w:color="000000" w:sz="4" w:space="0"/>
                  </w:tcBorders>
                  <w:vAlign w:val="top"/>
                </w:tcPr>
                <w:p>
                  <w:pPr>
                    <w:jc w:val="center"/>
                  </w:pPr>
                  <w:r>
                    <w:rPr>
                      <w:sz w:val="22"/>
                    </w:rPr>
                    <w:t>类别</w:t>
                  </w:r>
                </w:p>
              </w:tc>
              <w:tc>
                <w:tcPr>
                  <w:tcW w:w="994" w:type="dxa"/>
                  <w:tcBorders>
                    <w:top w:val="single" w:color="000000" w:sz="8" w:space="0"/>
                    <w:left w:val="single" w:color="000000" w:sz="4" w:space="0"/>
                    <w:bottom w:val="single" w:color="000000" w:sz="4" w:space="0"/>
                    <w:right w:val="single" w:color="000000" w:sz="4" w:space="0"/>
                  </w:tcBorders>
                  <w:vAlign w:val="top"/>
                </w:tcPr>
                <w:p>
                  <w:pPr>
                    <w:jc w:val="center"/>
                  </w:pPr>
                  <w:r>
                    <w:rPr>
                      <w:sz w:val="22"/>
                    </w:rPr>
                    <w:t>计划人数（人）</w:t>
                  </w:r>
                </w:p>
              </w:tc>
              <w:tc>
                <w:tcPr>
                  <w:tcW w:w="1030" w:type="dxa"/>
                  <w:tcBorders>
                    <w:top w:val="single" w:color="000000" w:sz="8" w:space="0"/>
                    <w:left w:val="single" w:color="000000" w:sz="4" w:space="0"/>
                    <w:bottom w:val="single" w:color="000000" w:sz="4" w:space="0"/>
                    <w:right w:val="single" w:color="000000" w:sz="4" w:space="0"/>
                  </w:tcBorders>
                  <w:vAlign w:val="top"/>
                </w:tcPr>
                <w:p>
                  <w:pPr>
                    <w:jc w:val="center"/>
                  </w:pPr>
                  <w:r>
                    <w:rPr>
                      <w:sz w:val="22"/>
                    </w:rPr>
                    <w:t>套餐最高限价</w:t>
                  </w:r>
                </w:p>
                <w:p>
                  <w:pPr>
                    <w:jc w:val="center"/>
                  </w:pPr>
                  <w:r>
                    <w:rPr>
                      <w:sz w:val="22"/>
                    </w:rPr>
                    <w:t>（元/人）</w:t>
                  </w:r>
                </w:p>
              </w:tc>
              <w:tc>
                <w:tcPr>
                  <w:tcW w:w="939" w:type="dxa"/>
                  <w:tcBorders>
                    <w:top w:val="single" w:color="000000" w:sz="8" w:space="0"/>
                    <w:left w:val="single" w:color="000000" w:sz="4" w:space="0"/>
                    <w:bottom w:val="single" w:color="000000" w:sz="4" w:space="0"/>
                    <w:right w:val="single" w:color="000000" w:sz="8" w:space="0"/>
                  </w:tcBorders>
                  <w:vAlign w:val="top"/>
                </w:tcPr>
                <w:p>
                  <w:pPr>
                    <w:jc w:val="center"/>
                  </w:pPr>
                  <w:r>
                    <w:rPr>
                      <w:sz w:val="22"/>
                    </w:rPr>
                    <w:t>采购预算（元）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4" w:type="dxa"/>
                  <w:vMerge w:val="restart"/>
                  <w:tcBorders>
                    <w:top w:val="single" w:color="000000" w:sz="4" w:space="0"/>
                    <w:left w:val="single" w:color="000000" w:sz="8" w:space="0"/>
                    <w:bottom w:val="single" w:color="000000" w:sz="4" w:space="0"/>
                    <w:right w:val="single" w:color="000000" w:sz="4" w:space="0"/>
                  </w:tcBorders>
                  <w:vAlign w:val="top"/>
                </w:tcPr>
                <w:p>
                  <w:pPr>
                    <w:jc w:val="center"/>
                  </w:pPr>
                  <w:r>
                    <w:rPr>
                      <w:rFonts w:hint="eastAsia"/>
                    </w:rPr>
                    <w:t>在编干部职工、合同人员及退休人员体检服务</w:t>
                  </w:r>
                </w:p>
              </w:tc>
              <w:tc>
                <w:tcPr>
                  <w:tcW w:w="1541" w:type="dxa"/>
                  <w:tcBorders>
                    <w:top w:val="single" w:color="000000" w:sz="4" w:space="0"/>
                    <w:left w:val="single" w:color="000000" w:sz="4" w:space="0"/>
                    <w:bottom w:val="single" w:color="000000" w:sz="4" w:space="0"/>
                    <w:right w:val="single" w:color="000000" w:sz="4" w:space="0"/>
                  </w:tcBorders>
                  <w:vAlign w:val="top"/>
                </w:tcPr>
                <w:p>
                  <w:pPr>
                    <w:jc w:val="center"/>
                    <w:rPr>
                      <w:rFonts w:hint="default" w:eastAsiaTheme="minorEastAsia"/>
                      <w:lang w:val="en-US" w:eastAsia="zh-CN"/>
                    </w:rPr>
                  </w:pPr>
                  <w:r>
                    <w:rPr>
                      <w:rFonts w:hint="eastAsia"/>
                      <w:sz w:val="22"/>
                      <w:lang w:val="en-US" w:eastAsia="zh-CN"/>
                    </w:rPr>
                    <w:t>在编干部职工（男性）、合同人员（男性）</w:t>
                  </w:r>
                </w:p>
              </w:tc>
              <w:tc>
                <w:tcPr>
                  <w:tcW w:w="994" w:type="dxa"/>
                  <w:tcBorders>
                    <w:top w:val="single" w:color="000000" w:sz="4" w:space="0"/>
                    <w:left w:val="single" w:color="000000" w:sz="4" w:space="0"/>
                    <w:bottom w:val="single" w:color="000000" w:sz="4" w:space="0"/>
                    <w:right w:val="single" w:color="000000" w:sz="4" w:space="0"/>
                  </w:tcBorders>
                  <w:vAlign w:val="top"/>
                </w:tcPr>
                <w:p>
                  <w:pPr>
                    <w:jc w:val="center"/>
                    <w:rPr>
                      <w:rFonts w:hint="default" w:eastAsiaTheme="minorEastAsia"/>
                      <w:lang w:val="en-US" w:eastAsia="zh-CN"/>
                    </w:rPr>
                  </w:pPr>
                  <w:r>
                    <w:rPr>
                      <w:rFonts w:hint="eastAsia"/>
                      <w:lang w:val="en-US" w:eastAsia="zh-CN"/>
                    </w:rPr>
                    <w:t>11</w:t>
                  </w:r>
                </w:p>
              </w:tc>
              <w:tc>
                <w:tcPr>
                  <w:tcW w:w="1030" w:type="dxa"/>
                  <w:tcBorders>
                    <w:top w:val="single" w:color="000000" w:sz="4" w:space="0"/>
                    <w:left w:val="single" w:color="000000" w:sz="4" w:space="0"/>
                    <w:bottom w:val="single" w:color="000000" w:sz="4" w:space="0"/>
                    <w:right w:val="single" w:color="000000" w:sz="4" w:space="0"/>
                  </w:tcBorders>
                  <w:vAlign w:val="top"/>
                </w:tcPr>
                <w:p>
                  <w:pPr>
                    <w:jc w:val="center"/>
                    <w:rPr>
                      <w:rFonts w:hint="default" w:eastAsiaTheme="minorEastAsia"/>
                      <w:lang w:val="en-US" w:eastAsia="zh-CN"/>
                    </w:rPr>
                  </w:pPr>
                  <w:r>
                    <w:rPr>
                      <w:rFonts w:hint="eastAsia"/>
                      <w:lang w:val="en-US" w:eastAsia="zh-CN"/>
                    </w:rPr>
                    <w:t>1860</w:t>
                  </w:r>
                </w:p>
              </w:tc>
              <w:tc>
                <w:tcPr>
                  <w:tcW w:w="939" w:type="dxa"/>
                  <w:vMerge w:val="restart"/>
                  <w:tcBorders>
                    <w:top w:val="single" w:color="000000" w:sz="4" w:space="0"/>
                    <w:left w:val="single" w:color="000000" w:sz="4" w:space="0"/>
                    <w:bottom w:val="single" w:color="000000" w:sz="4" w:space="0"/>
                    <w:right w:val="single" w:color="000000" w:sz="8" w:space="0"/>
                  </w:tcBorders>
                  <w:vAlign w:val="top"/>
                </w:tcPr>
                <w:p>
                  <w:pPr>
                    <w:jc w:val="center"/>
                    <w:rPr>
                      <w:rFonts w:hint="default" w:eastAsiaTheme="minorEastAsia"/>
                      <w:lang w:val="en-US" w:eastAsia="zh-CN"/>
                    </w:rPr>
                  </w:pPr>
                  <w:r>
                    <w:rPr>
                      <w:rFonts w:hint="eastAsia"/>
                      <w:lang w:val="en-US" w:eastAsia="zh-CN"/>
                    </w:rPr>
                    <w:t>149870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940" w:type="dxa"/>
              </w:trPr>
              <w:tc>
                <w:tcPr>
                  <w:tcW w:w="1094" w:type="dxa"/>
                  <w:vMerge w:val="continue"/>
                  <w:tcBorders>
                    <w:top w:val="single" w:color="000000" w:sz="4" w:space="0"/>
                    <w:left w:val="single" w:color="000000" w:sz="8" w:space="0"/>
                    <w:bottom w:val="single" w:color="000000" w:sz="4" w:space="0"/>
                    <w:right w:val="single" w:color="000000" w:sz="4" w:space="0"/>
                  </w:tcBorders>
                </w:tcPr>
                <w:p/>
              </w:tc>
              <w:tc>
                <w:tcPr>
                  <w:tcW w:w="1541" w:type="dxa"/>
                  <w:tcBorders>
                    <w:top w:val="single" w:color="000000" w:sz="4" w:space="0"/>
                    <w:left w:val="single" w:color="000000" w:sz="4" w:space="0"/>
                    <w:bottom w:val="single" w:color="000000" w:sz="4" w:space="0"/>
                    <w:right w:val="single" w:color="000000" w:sz="4" w:space="0"/>
                  </w:tcBorders>
                  <w:vAlign w:val="top"/>
                </w:tcPr>
                <w:p>
                  <w:pPr>
                    <w:jc w:val="center"/>
                    <w:rPr>
                      <w:rFonts w:hint="default" w:eastAsiaTheme="minorEastAsia"/>
                      <w:lang w:val="en-US" w:eastAsia="zh-CN"/>
                    </w:rPr>
                  </w:pPr>
                  <w:r>
                    <w:rPr>
                      <w:rFonts w:hint="eastAsia"/>
                      <w:sz w:val="22"/>
                      <w:lang w:val="en-US" w:eastAsia="zh-CN"/>
                    </w:rPr>
                    <w:t>在编干部职工（女性）、合同人员（女性）</w:t>
                  </w:r>
                </w:p>
              </w:tc>
              <w:tc>
                <w:tcPr>
                  <w:tcW w:w="994" w:type="dxa"/>
                  <w:tcBorders>
                    <w:top w:val="single" w:color="000000" w:sz="4" w:space="0"/>
                    <w:left w:val="single" w:color="000000" w:sz="4" w:space="0"/>
                    <w:bottom w:val="single" w:color="000000" w:sz="4" w:space="0"/>
                    <w:right w:val="single" w:color="000000" w:sz="4" w:space="0"/>
                  </w:tcBorders>
                  <w:vAlign w:val="top"/>
                </w:tcPr>
                <w:p>
                  <w:pPr>
                    <w:jc w:val="center"/>
                    <w:rPr>
                      <w:rFonts w:hint="default" w:eastAsiaTheme="minorEastAsia"/>
                      <w:lang w:val="en-US" w:eastAsia="zh-CN"/>
                    </w:rPr>
                  </w:pPr>
                  <w:r>
                    <w:rPr>
                      <w:rFonts w:hint="eastAsia"/>
                      <w:lang w:val="en-US" w:eastAsia="zh-CN"/>
                    </w:rPr>
                    <w:t>31</w:t>
                  </w:r>
                </w:p>
              </w:tc>
              <w:tc>
                <w:tcPr>
                  <w:tcW w:w="1030" w:type="dxa"/>
                  <w:tcBorders>
                    <w:top w:val="single" w:color="000000" w:sz="4" w:space="0"/>
                    <w:left w:val="single" w:color="000000" w:sz="4" w:space="0"/>
                    <w:bottom w:val="single" w:color="000000" w:sz="4" w:space="0"/>
                    <w:right w:val="single" w:color="000000" w:sz="4" w:space="0"/>
                  </w:tcBorders>
                  <w:vAlign w:val="top"/>
                </w:tcPr>
                <w:p>
                  <w:pPr>
                    <w:jc w:val="center"/>
                    <w:rPr>
                      <w:rFonts w:hint="default" w:eastAsiaTheme="minorEastAsia"/>
                      <w:lang w:val="en-US" w:eastAsia="zh-CN"/>
                    </w:rPr>
                  </w:pPr>
                  <w:r>
                    <w:rPr>
                      <w:rFonts w:hint="eastAsia"/>
                      <w:lang w:val="en-US" w:eastAsia="zh-CN"/>
                    </w:rPr>
                    <w:t>2110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940" w:type="dxa"/>
              </w:trPr>
              <w:tc>
                <w:tcPr>
                  <w:tcW w:w="1094" w:type="dxa"/>
                  <w:vMerge w:val="continue"/>
                  <w:tcBorders>
                    <w:top w:val="single" w:color="000000" w:sz="4" w:space="0"/>
                    <w:left w:val="single" w:color="000000" w:sz="8" w:space="0"/>
                    <w:bottom w:val="single" w:color="000000" w:sz="4" w:space="0"/>
                    <w:right w:val="single" w:color="000000" w:sz="4" w:space="0"/>
                  </w:tcBorders>
                </w:tcPr>
                <w:p/>
              </w:tc>
              <w:tc>
                <w:tcPr>
                  <w:tcW w:w="1541" w:type="dxa"/>
                  <w:tcBorders>
                    <w:top w:val="single" w:color="000000" w:sz="4" w:space="0"/>
                    <w:left w:val="single" w:color="000000" w:sz="4" w:space="0"/>
                    <w:bottom w:val="single" w:color="000000" w:sz="8" w:space="0"/>
                    <w:right w:val="single" w:color="000000" w:sz="4" w:space="0"/>
                  </w:tcBorders>
                  <w:vAlign w:val="top"/>
                </w:tcPr>
                <w:p>
                  <w:pPr>
                    <w:jc w:val="center"/>
                    <w:rPr>
                      <w:rFonts w:hint="default" w:eastAsiaTheme="minorEastAsia"/>
                      <w:lang w:val="en-US" w:eastAsia="zh-CN"/>
                    </w:rPr>
                  </w:pPr>
                  <w:r>
                    <w:rPr>
                      <w:rFonts w:hint="eastAsia"/>
                      <w:sz w:val="22"/>
                      <w:lang w:val="en-US" w:eastAsia="zh-CN"/>
                    </w:rPr>
                    <w:t>退休人员</w:t>
                  </w:r>
                </w:p>
              </w:tc>
              <w:tc>
                <w:tcPr>
                  <w:tcW w:w="994" w:type="dxa"/>
                  <w:tcBorders>
                    <w:top w:val="single" w:color="000000" w:sz="4" w:space="0"/>
                    <w:left w:val="single" w:color="000000" w:sz="4" w:space="0"/>
                    <w:bottom w:val="single" w:color="000000" w:sz="8" w:space="0"/>
                    <w:right w:val="single" w:color="000000" w:sz="4" w:space="0"/>
                  </w:tcBorders>
                  <w:vAlign w:val="top"/>
                </w:tcPr>
                <w:p>
                  <w:pPr>
                    <w:jc w:val="center"/>
                    <w:rPr>
                      <w:rFonts w:hint="default" w:eastAsiaTheme="minorEastAsia"/>
                      <w:lang w:val="en-US" w:eastAsia="zh-CN"/>
                    </w:rPr>
                  </w:pPr>
                  <w:r>
                    <w:rPr>
                      <w:rFonts w:hint="eastAsia"/>
                      <w:lang w:val="en-US" w:eastAsia="zh-CN"/>
                    </w:rPr>
                    <w:t>64</w:t>
                  </w:r>
                </w:p>
              </w:tc>
              <w:tc>
                <w:tcPr>
                  <w:tcW w:w="1030" w:type="dxa"/>
                  <w:tcBorders>
                    <w:top w:val="single" w:color="000000" w:sz="4" w:space="0"/>
                    <w:left w:val="single" w:color="000000" w:sz="4" w:space="0"/>
                    <w:bottom w:val="single" w:color="000000" w:sz="8" w:space="0"/>
                    <w:right w:val="single" w:color="000000" w:sz="4" w:space="0"/>
                  </w:tcBorders>
                  <w:vAlign w:val="top"/>
                </w:tcPr>
                <w:p>
                  <w:pPr>
                    <w:jc w:val="center"/>
                    <w:rPr>
                      <w:rFonts w:hint="default" w:eastAsiaTheme="minorEastAsia"/>
                      <w:lang w:val="en-US" w:eastAsia="zh-CN"/>
                    </w:rPr>
                  </w:pPr>
                  <w:r>
                    <w:rPr>
                      <w:rFonts w:hint="eastAsia"/>
                      <w:lang w:val="en-US" w:eastAsia="zh-CN"/>
                    </w:rPr>
                    <w:t>1000</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2</w:t>
            </w:r>
          </w:p>
        </w:tc>
        <w:tc>
          <w:tcPr>
            <w:tcW w:w="5814" w:type="dxa"/>
          </w:tcPr>
          <w:p>
            <w:r>
              <w:rPr>
                <w:b/>
                <w:sz w:val="24"/>
              </w:rPr>
              <w:t>二、招标要求</w:t>
            </w:r>
          </w:p>
          <w:p>
            <w:r>
              <w:rPr>
                <w:b/>
                <w:sz w:val="24"/>
              </w:rPr>
              <w:t>（一）投标人总体要求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w:t>
            </w:r>
          </w:p>
        </w:tc>
        <w:tc>
          <w:tcPr>
            <w:tcW w:w="415" w:type="dxa"/>
          </w:tcPr>
          <w:p>
            <w:r>
              <w:t>3</w:t>
            </w:r>
          </w:p>
        </w:tc>
        <w:tc>
          <w:tcPr>
            <w:tcW w:w="5814" w:type="dxa"/>
          </w:tcPr>
          <w:p>
            <w:r>
              <w:rPr>
                <w:sz w:val="24"/>
              </w:rPr>
              <w:t>1、★营业执照注册.地址不在广州市的投标人，提供能在广州市内进行体检服务的证明文件。</w:t>
            </w:r>
          </w:p>
          <w:p>
            <w:r>
              <w:rPr>
                <w:b/>
                <w:sz w:val="24"/>
              </w:rPr>
              <w:t>2、★投标人应在投标文件中明确体检中心的具体名称和地址。投标人如有多个体检中心的，应为本项目选择便于采购人职工体检且各方面条件较优的唯一一个体检中心作为为本项目提供服务的体检中心，采购人职工集中在该体检中心进行体检。（投标文件中须提供声明函，明确为本项目提供的唯一体检中心及其名称和地址。如投标文件中未明确体检中心的名称和地址或声明函中提供的体检中心不唯一的，按投标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4</w:t>
            </w:r>
          </w:p>
        </w:tc>
        <w:tc>
          <w:tcPr>
            <w:tcW w:w="5814" w:type="dxa"/>
          </w:tcPr>
          <w:p>
            <w:r>
              <w:rPr>
                <w:b/>
                <w:sz w:val="24"/>
              </w:rPr>
              <w:t>3、投标人应在投标文件中明确该体检中心（以下体检中心均指上述第2点要求的唯一体检中心）的地址、体检中心场所情况、设备、人员等信息，该体检中心应满足以下要求。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w:t>
            </w:r>
          </w:p>
        </w:tc>
        <w:tc>
          <w:tcPr>
            <w:tcW w:w="415" w:type="dxa"/>
          </w:tcPr>
          <w:p>
            <w:r>
              <w:t>5</w:t>
            </w:r>
          </w:p>
        </w:tc>
        <w:tc>
          <w:tcPr>
            <w:tcW w:w="5814" w:type="dxa"/>
          </w:tcPr>
          <w:p>
            <w:r>
              <w:rPr>
                <w:sz w:val="24"/>
              </w:rPr>
              <w:t>（1）★能同时免费提供</w:t>
            </w:r>
            <w:r>
              <w:rPr>
                <w:sz w:val="21"/>
                <w:u w:val="single"/>
              </w:rPr>
              <w:t xml:space="preserve"> </w:t>
            </w:r>
            <w:r>
              <w:rPr>
                <w:sz w:val="24"/>
                <w:u w:val="single"/>
              </w:rPr>
              <w:t>10</w:t>
            </w:r>
            <w:r>
              <w:rPr>
                <w:sz w:val="21"/>
                <w:u w:val="single"/>
              </w:rPr>
              <w:t xml:space="preserve"> </w:t>
            </w:r>
            <w:r>
              <w:rPr>
                <w:sz w:val="24"/>
              </w:rPr>
              <w:t>个以上小型车车位。</w:t>
            </w:r>
            <w:r>
              <w:rPr>
                <w:b/>
                <w:sz w:val="24"/>
              </w:rPr>
              <w:t>(需要提供承诺函及照片)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6</w:t>
            </w:r>
          </w:p>
        </w:tc>
        <w:tc>
          <w:tcPr>
            <w:tcW w:w="5814" w:type="dxa"/>
          </w:tcPr>
          <w:p>
            <w:r>
              <w:rPr>
                <w:sz w:val="24"/>
              </w:rPr>
              <w:t>（2）公共交通便利，离地铁口步行距离不超过1.2公里。</w:t>
            </w:r>
          </w:p>
          <w:p>
            <w:r>
              <w:rPr>
                <w:sz w:val="24"/>
              </w:rPr>
              <w:t>（3）响应“禁止受检者和患者共检”的号召，要求投标人有独立的体检中心，所有仪器设备人员为体检专用，远离病人就诊或住院区域50米以上。</w:t>
            </w:r>
          </w:p>
          <w:p>
            <w:r>
              <w:rPr>
                <w:sz w:val="24"/>
              </w:rPr>
              <w:t>（4）体检中心应具有同时能接待250人的接待能力，且营业面积不少于2500平方米或以上。</w:t>
            </w:r>
          </w:p>
          <w:p>
            <w:r>
              <w:rPr>
                <w:sz w:val="24"/>
              </w:rPr>
              <w:t>（5）体检中心应设备先进，且设备检测状况良好，能够提供B超（彩色B超）设备不少于10台；胸透DR设备不少于2台。</w:t>
            </w:r>
          </w:p>
          <w:p>
            <w:r>
              <w:rPr>
                <w:sz w:val="24"/>
              </w:rPr>
              <w:t>（6）体检所用医疗设备、器材、卫生材料及试剂均是通过具备医疗器械（或药品）经营许可证的公司采购的具备医疗器械（或药品）注册证的产品，设备器材均按规定定期参加各级技术监督局的计量检查，确保体检结果的可靠性。</w:t>
            </w:r>
          </w:p>
          <w:p>
            <w:r>
              <w:rPr>
                <w:sz w:val="24"/>
              </w:rPr>
              <w:t>（7）投标人的体检中心检验科及放射室均具有国家相关许可资格，并建立完整的质量控制体系，确保检验结果的准确性。</w:t>
            </w:r>
          </w:p>
          <w:p>
            <w:r>
              <w:rPr>
                <w:sz w:val="24"/>
              </w:rPr>
              <w:t>（8）体检质量达到医学行业标准，检验室需参加省级或以上的室间质控，并提供依据。</w:t>
            </w:r>
          </w:p>
          <w:p>
            <w:r>
              <w:rPr>
                <w:b/>
                <w:sz w:val="24"/>
              </w:rPr>
              <w:t>（二）体检服务要求</w:t>
            </w:r>
          </w:p>
          <w:p>
            <w:r>
              <w:rPr>
                <w:sz w:val="24"/>
              </w:rPr>
              <w:t>1、体检医院须设采购人体检专场，体检计划在</w:t>
            </w:r>
            <w:r>
              <w:rPr>
                <w:sz w:val="21"/>
                <w:u w:val="single"/>
              </w:rPr>
              <w:t xml:space="preserve">  </w:t>
            </w:r>
            <w:r>
              <w:rPr>
                <w:sz w:val="24"/>
                <w:u w:val="single"/>
              </w:rPr>
              <w:t>2</w:t>
            </w:r>
            <w:r>
              <w:rPr>
                <w:sz w:val="21"/>
                <w:u w:val="single"/>
              </w:rPr>
              <w:t xml:space="preserve">  </w:t>
            </w:r>
            <w:r>
              <w:rPr>
                <w:sz w:val="24"/>
              </w:rPr>
              <w:t>个月内分</w:t>
            </w:r>
            <w:r>
              <w:rPr>
                <w:sz w:val="21"/>
                <w:u w:val="single"/>
              </w:rPr>
              <w:t xml:space="preserve"> </w:t>
            </w:r>
            <w:r>
              <w:rPr>
                <w:rFonts w:hint="eastAsia"/>
                <w:sz w:val="21"/>
                <w:u w:val="single"/>
                <w:lang w:val="en-US" w:eastAsia="zh-CN"/>
              </w:rPr>
              <w:t>4</w:t>
            </w:r>
            <w:r>
              <w:rPr>
                <w:sz w:val="21"/>
                <w:u w:val="single"/>
              </w:rPr>
              <w:t xml:space="preserve"> </w:t>
            </w:r>
            <w:r>
              <w:rPr>
                <w:sz w:val="24"/>
              </w:rPr>
              <w:t>个批次进行，主要批次需安排检查</w:t>
            </w:r>
            <w:r>
              <w:rPr>
                <w:sz w:val="21"/>
                <w:u w:val="single"/>
              </w:rPr>
              <w:t xml:space="preserve"> </w:t>
            </w:r>
            <w:r>
              <w:rPr>
                <w:sz w:val="24"/>
                <w:u w:val="single"/>
              </w:rPr>
              <w:t>100</w:t>
            </w:r>
            <w:r>
              <w:rPr>
                <w:sz w:val="21"/>
                <w:u w:val="single"/>
              </w:rPr>
              <w:t xml:space="preserve"> </w:t>
            </w:r>
            <w:r>
              <w:rPr>
                <w:sz w:val="24"/>
              </w:rPr>
              <w:t>人或以上，每批次体检要求在上午12：00前完成所有人员的体检项目。</w:t>
            </w:r>
          </w:p>
          <w:p>
            <w:r>
              <w:rPr>
                <w:sz w:val="24"/>
              </w:rPr>
              <w:t>2、在体检区域内须有清晰准确的体检引导标志牌和体检导诊员，导诊员负责体检现场统筹工作，并对体检过程中发生的事故进行及时有效地处理，以保证体检工作按时有序地完成。同时应做好体检资料的制作、管理和发放（包括体检表、体检须知），如采购人不慎遗失体检表或因工作调动等原因漏报体检人员，中标人应予及时补发。</w:t>
            </w:r>
          </w:p>
          <w:p>
            <w:r>
              <w:rPr>
                <w:sz w:val="24"/>
              </w:rPr>
              <w:t>3、投标人在体检期间须派驻一名具有高级职称的内科医生作为现场咨询专家，要求专家耐心细致，能认真回答体检员工的相关疑问。</w:t>
            </w:r>
          </w:p>
          <w:p>
            <w:r>
              <w:rPr>
                <w:sz w:val="24"/>
              </w:rPr>
              <w:t>4、针对老年教职工做好便捷安全保障措施（例如防滑倒、防寒等保障措施）。</w:t>
            </w:r>
          </w:p>
          <w:p>
            <w:r>
              <w:rPr>
                <w:sz w:val="24"/>
              </w:rPr>
              <w:t>5、中标服务商应对体检结果负责。体检医院要由副主任级以上医生填写每人的健康体检报告，体检报告应包括：总检报告或信息汇总，体检结果建议或体检指南内容、实验室检查项目检验原始单据（并列明检验方法）等内容。体检报告应提供纸质版本和电子版本，其中纸质版本由体检医院盖章出具报告（内容包括检验结果及建议），以书面、密封的形式于体检后3周内送达采购人办公室。未征得采购人的同意，投标人不得将体检结果告诉第三人。</w:t>
            </w:r>
            <w:r>
              <w:rPr>
                <w:b/>
                <w:sz w:val="24"/>
              </w:rPr>
              <w:t>（提供承诺书加盖公章，格式自拟）</w:t>
            </w:r>
          </w:p>
          <w:p>
            <w:r>
              <w:rPr>
                <w:sz w:val="24"/>
              </w:rPr>
              <w:t>6、体检全部结束后，体检医院须根据体检情况写出书面总结（附各病种异常率、疾病发病率的人员统计等）。写出分析报告并提出相关建议。全体参检人员各病症异常率、各分项统计报告、总体统计报告、疾病患病的统计。</w:t>
            </w:r>
          </w:p>
          <w:p>
            <w:r>
              <w:rPr>
                <w:sz w:val="24"/>
              </w:rPr>
              <w:t>7、完成体检内容后，可根据单位需要，选派相关专家、教授为采购人</w:t>
            </w:r>
            <w:r>
              <w:rPr>
                <w:b/>
                <w:sz w:val="24"/>
              </w:rPr>
              <w:t>免费举办不少于两期的健康知识讲座、体检报告解读与咨询</w:t>
            </w:r>
            <w:r>
              <w:rPr>
                <w:sz w:val="24"/>
              </w:rPr>
              <w:t>。</w:t>
            </w:r>
          </w:p>
          <w:p>
            <w:r>
              <w:rPr>
                <w:sz w:val="24"/>
              </w:rPr>
              <w:t>8、体检医院须按要求建立健康档案，健康档案包括纸质文档和电子文档。电子文档由体检医院于每批体检结束后将体检的所有数据（包括人员信息、化验单、检查结果、体检总评、专家意见等）用数据库Excel 表格录入。同时，电子文档提交一份给采购人单位备份，以便采购人对参检人员的健康资料、体检情况、病种等随时调用、筛选、统计归类，进行动态跟踪。</w:t>
            </w:r>
          </w:p>
          <w:p>
            <w:r>
              <w:rPr>
                <w:sz w:val="24"/>
              </w:rPr>
              <w:t>9、体检过程中，如遇发现疑似恶性肿瘤、传染病（如结核病）等特殊情况，中标服务商应立即通知采购人，对可疑病例要复查的，复查名单及内容通知其个人及采购单位联系人。</w:t>
            </w:r>
          </w:p>
          <w:p>
            <w:r>
              <w:rPr>
                <w:sz w:val="24"/>
              </w:rPr>
              <w:t>10、中标服务商承诺未按服务项目要求完成或完成不彻底，须按要求重新安排体检，且采购人有权扣减合同付款金额直至终止合约，由此造成的一切后果由中标服务商承担。中标服务商在服务期间由于自身责任造成采购人的一切损失，由中标服务商负责赔偿。</w:t>
            </w:r>
          </w:p>
          <w:p>
            <w:r>
              <w:rPr>
                <w:sz w:val="24"/>
              </w:rPr>
              <w:t>11、其他：非约定项目检查，采购人不予支付任何费用。</w:t>
            </w:r>
          </w:p>
          <w:p>
            <w:r>
              <w:rPr>
                <w:sz w:val="24"/>
              </w:rPr>
              <w:t>12、增值服务：</w:t>
            </w:r>
          </w:p>
          <w:p>
            <w:r>
              <w:rPr>
                <w:sz w:val="24"/>
              </w:rPr>
              <w:t>（1）针对采购人提供职场健康管理、老年人保健讲座服务；同时于检后对参检人员异常结果开展一对一讲解、答疑环节及开展健康讲座。</w:t>
            </w:r>
          </w:p>
          <w:p>
            <w:r>
              <w:rPr>
                <w:sz w:val="24"/>
              </w:rPr>
              <w:t>（2）可提供心理能力提升课程，具有心理专科及提供具有资质的心理辅导人员进行心理健康辅导。</w:t>
            </w:r>
          </w:p>
          <w:p>
            <w:r>
              <w:rPr>
                <w:sz w:val="24"/>
              </w:rPr>
              <w:t>（3）能提供专业体检结果跟踪服务、体检结果疾病统计、重大疾病专人提醒，体检异常的人员有专人负责并能及时给予专科复检，并由临床经验丰富的专家进行指导。</w:t>
            </w:r>
          </w:p>
          <w:p>
            <w:r>
              <w:rPr>
                <w:sz w:val="24"/>
              </w:rPr>
              <w:t>（4）对体检后门诊就诊优先提供预约、住院发生的困难和问题给予积极的协调和合作，必要时开通绿色通道。</w:t>
            </w:r>
          </w:p>
          <w:p>
            <w:r>
              <w:rPr>
                <w:sz w:val="24"/>
              </w:rPr>
              <w:t>（5）设立服务质量投诉电话和服务质量征求意见簿，对有关问题及时答复和采取相应的改进措施。</w:t>
            </w:r>
          </w:p>
          <w:p>
            <w:r>
              <w:rPr>
                <w:sz w:val="24"/>
              </w:rPr>
              <w:t>13、中标后不得将体检业务转包、分包给其他单位。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7</w:t>
            </w:r>
          </w:p>
        </w:tc>
        <w:tc>
          <w:tcPr>
            <w:tcW w:w="5814" w:type="dxa"/>
          </w:tcPr>
          <w:p>
            <w:r>
              <w:rPr>
                <w:sz w:val="24"/>
              </w:rPr>
              <w:t>三、</w:t>
            </w:r>
            <w:r>
              <w:rPr>
                <w:b/>
                <w:color w:val="000000"/>
                <w:sz w:val="24"/>
              </w:rPr>
              <w:t>体检项目：详见各体检套餐表</w:t>
            </w:r>
            <w:r>
              <w:t xml:space="preserve"> </w:t>
            </w:r>
          </w:p>
          <w:tbl>
            <w:tblPr>
              <w:tblStyle w:val="2"/>
              <w:tblW w:w="0" w:type="auto"/>
              <w:tblInd w:w="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94"/>
              <w:gridCol w:w="282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726"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pPr>
                  <w:r>
                    <w:rPr>
                      <w:b/>
                      <w:sz w:val="22"/>
                    </w:rPr>
                    <w:t>套餐一 （</w:t>
                  </w:r>
                  <w:r>
                    <w:rPr>
                      <w:rFonts w:hint="eastAsia"/>
                      <w:b/>
                      <w:sz w:val="22"/>
                    </w:rPr>
                    <w:t>在编干部职工、合同人员</w:t>
                  </w:r>
                  <w:r>
                    <w:rPr>
                      <w:b/>
                      <w:sz w:val="22"/>
                    </w:rPr>
                    <w:t>）</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pPr>
                  <w:r>
                    <w:rPr>
                      <w:b/>
                      <w:sz w:val="22"/>
                    </w:rPr>
                    <w:t>套餐二 （</w:t>
                  </w:r>
                  <w:r>
                    <w:rPr>
                      <w:rFonts w:hint="eastAsia"/>
                      <w:b/>
                      <w:sz w:val="22"/>
                      <w:lang w:val="en-US" w:eastAsia="zh-CN"/>
                    </w:rPr>
                    <w:t>退休</w:t>
                  </w:r>
                  <w:r>
                    <w:rPr>
                      <w:b/>
                      <w:sz w:val="22"/>
                    </w:rPr>
                    <w:t>人员）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pPr>
                  <w:r>
                    <w:rPr>
                      <w:b/>
                      <w:color w:val="000000"/>
                      <w:sz w:val="21"/>
                    </w:rPr>
                    <w:t>一、体格检查</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pPr>
                  <w:r>
                    <w:rPr>
                      <w:b/>
                      <w:color w:val="000000"/>
                      <w:sz w:val="21"/>
                    </w:rPr>
                    <w:t>一、体格检查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内科</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内科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外科</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外科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眼科</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眼科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非接触性眼压</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非接触性眼压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耳鼻喉科</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耳鼻喉科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b/>
                      <w:color w:val="000000"/>
                      <w:sz w:val="21"/>
                      <w:highlight w:val="none"/>
                    </w:rPr>
                    <w:t>二、功能检查项目</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b/>
                      <w:color w:val="000000"/>
                      <w:sz w:val="21"/>
                      <w:highlight w:val="none"/>
                    </w:rPr>
                    <w:t>二、功能检查项目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（男性）消化系统+泌尿系统+前列腺彩超</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（男性）消化系统+泌尿系统+前列腺彩超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（女性）消化系统+泌尿系统彩超</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（女性）消化系统+泌尿系统彩超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（女性）经腹子宫附件(妇科彩超)</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（女性）经腹子宫附件(妇科彩超)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甲状腺彩超＋颈动脉彩超</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（女性）乳腺及其引流区淋巴结(彩超)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心脏彩超</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心电图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心电图</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rPr>
                      <w:highlight w:val="none"/>
                    </w:rPr>
                  </w:pPr>
                  <w:r>
                    <w:rPr>
                      <w:sz w:val="22"/>
                      <w:highlight w:val="none"/>
                    </w:rPr>
                    <w:t>胸部正位（不含片）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胸部CT</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b/>
                      <w:color w:val="000000"/>
                      <w:sz w:val="21"/>
                      <w:highlight w:val="none"/>
                    </w:rPr>
                    <w:t>三、检验项目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b/>
                      <w:color w:val="000000"/>
                      <w:sz w:val="21"/>
                      <w:highlight w:val="none"/>
                    </w:rPr>
                    <w:t>三、检验项目</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尿常规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尿常规（体检）</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血常规(五分类)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血常规(五分类)</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肾功三项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糖脂五项</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糖脂五项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糖化血红蛋白测定</w:t>
                  </w:r>
                </w:p>
              </w:tc>
              <w:tc>
                <w:tcPr>
                  <w:tcW w:w="2861" w:type="dxa"/>
                  <w:vMerge w:val="restart"/>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肝功十二项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824" w:type="dxa"/>
              </w:trPr>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肾功三项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甲功三项</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癌胚抗原定性测定(CEA)各种免疫学方法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肝功十二项</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甲胎蛋白定性测定(AFP)各种免疫学方法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血同型半胱氨酸测定各种免疫学方法</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（男性）总前列腺特异性抗原测定(电化学发光法)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（男性）总前列腺特异性抗原测定(电化学发光法)</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EBV衣壳抗原Iga抗体检测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（男性）游离前列腺特异性抗原测定（化学发光）</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b/>
                      <w:color w:val="000000"/>
                      <w:sz w:val="21"/>
                      <w:highlight w:val="none"/>
                    </w:rPr>
                    <w:t>四、妇科检查（已婚女性）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EBV衣壳抗原Iga抗体检测</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妇科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癌胚抗原定量测定(CEA)各种免疫学方法</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阴道分泌物检查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糖类抗原CA19-9测定</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宫颈脱落细胞学检查与诊断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甲胎蛋白定量测定(AFP)各种免疫学方法</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高危型人乳头状瘤病毒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b/>
                      <w:color w:val="000000"/>
                      <w:sz w:val="21"/>
                      <w:highlight w:val="none"/>
                    </w:rPr>
                    <w:t>四、妇科检查（已婚女性）</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b/>
                      <w:color w:val="000000"/>
                      <w:sz w:val="21"/>
                      <w:highlight w:val="none"/>
                    </w:rPr>
                    <w:t>五、其他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妇科</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采血费及试管费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阴道分泌物检查</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计算机图文报告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液基细胞学检查与诊断</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营养早餐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b/>
                      <w:color w:val="000000"/>
                      <w:sz w:val="21"/>
                      <w:highlight w:val="none"/>
                    </w:rPr>
                    <w:t>五、其他</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个人健康体检分析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采血费及试管费</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计算机图文报告</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营养早餐</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r>
                    <w:rPr>
                      <w:sz w:val="22"/>
                      <w:highlight w:val="none"/>
                    </w:rPr>
                    <w:t>个人健康体检分析</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left"/>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6" w:type="dxa"/>
                  <w:tcBorders>
                    <w:top w:val="nil"/>
                    <w:left w:val="single" w:color="000000" w:sz="4" w:space="0"/>
                    <w:bottom w:val="single" w:color="000000" w:sz="4" w:space="0"/>
                    <w:right w:val="single" w:color="000000" w:sz="4" w:space="0"/>
                  </w:tcBorders>
                  <w:shd w:val="clear" w:color="auto" w:fill="FFFFFF"/>
                  <w:vAlign w:val="top"/>
                </w:tcPr>
                <w:p>
                  <w:pPr>
                    <w:jc w:val="center"/>
                    <w:rPr>
                      <w:highlight w:val="none"/>
                    </w:rPr>
                  </w:pPr>
                  <w:r>
                    <w:rPr>
                      <w:b/>
                      <w:sz w:val="22"/>
                      <w:highlight w:val="none"/>
                    </w:rPr>
                    <w:t>套餐体检费用以实际参检人数核计（限价</w:t>
                  </w:r>
                  <w:r>
                    <w:rPr>
                      <w:rFonts w:hint="eastAsia"/>
                      <w:b/>
                      <w:sz w:val="22"/>
                      <w:highlight w:val="none"/>
                      <w:lang w:eastAsia="zh-CN"/>
                    </w:rPr>
                    <w:t>：</w:t>
                  </w:r>
                  <w:r>
                    <w:rPr>
                      <w:rFonts w:hint="eastAsia"/>
                      <w:b/>
                      <w:sz w:val="22"/>
                      <w:highlight w:val="none"/>
                      <w:lang w:val="en-US" w:eastAsia="zh-CN"/>
                    </w:rPr>
                    <w:t>男性186</w:t>
                  </w:r>
                  <w:r>
                    <w:rPr>
                      <w:b/>
                      <w:sz w:val="22"/>
                      <w:highlight w:val="none"/>
                    </w:rPr>
                    <w:t>0元/人</w:t>
                  </w:r>
                  <w:r>
                    <w:rPr>
                      <w:rFonts w:hint="eastAsia"/>
                      <w:b/>
                      <w:sz w:val="22"/>
                      <w:highlight w:val="none"/>
                      <w:lang w:eastAsia="zh-CN"/>
                    </w:rPr>
                    <w:t>、</w:t>
                  </w:r>
                  <w:r>
                    <w:rPr>
                      <w:rFonts w:hint="eastAsia"/>
                      <w:b/>
                      <w:sz w:val="22"/>
                      <w:highlight w:val="none"/>
                      <w:lang w:val="en-US" w:eastAsia="zh-CN"/>
                    </w:rPr>
                    <w:t>女性</w:t>
                  </w:r>
                  <w:r>
                    <w:rPr>
                      <w:b/>
                      <w:sz w:val="22"/>
                      <w:highlight w:val="none"/>
                    </w:rPr>
                    <w:t>21</w:t>
                  </w:r>
                  <w:r>
                    <w:rPr>
                      <w:rFonts w:hint="eastAsia"/>
                      <w:b/>
                      <w:sz w:val="22"/>
                      <w:highlight w:val="none"/>
                      <w:lang w:val="en-US" w:eastAsia="zh-CN"/>
                    </w:rPr>
                    <w:t>1</w:t>
                  </w:r>
                  <w:r>
                    <w:rPr>
                      <w:b/>
                      <w:sz w:val="22"/>
                      <w:highlight w:val="none"/>
                    </w:rPr>
                    <w:t>0元/人）</w:t>
                  </w:r>
                </w:p>
              </w:tc>
              <w:tc>
                <w:tcPr>
                  <w:tcW w:w="2861" w:type="dxa"/>
                  <w:tcBorders>
                    <w:top w:val="nil"/>
                    <w:left w:val="single" w:color="000000" w:sz="4" w:space="0"/>
                    <w:bottom w:val="single" w:color="000000" w:sz="4" w:space="0"/>
                    <w:right w:val="single" w:color="000000" w:sz="4" w:space="0"/>
                  </w:tcBorders>
                  <w:shd w:val="clear" w:color="auto" w:fill="FFFFFF"/>
                  <w:vAlign w:val="top"/>
                </w:tcPr>
                <w:p>
                  <w:pPr>
                    <w:jc w:val="center"/>
                    <w:rPr>
                      <w:highlight w:val="none"/>
                    </w:rPr>
                  </w:pPr>
                  <w:r>
                    <w:rPr>
                      <w:b/>
                      <w:sz w:val="22"/>
                      <w:highlight w:val="none"/>
                    </w:rPr>
                    <w:t>套餐体检费用以实际参检人数核计（限价</w:t>
                  </w:r>
                  <w:r>
                    <w:rPr>
                      <w:rFonts w:hint="eastAsia"/>
                      <w:b/>
                      <w:sz w:val="22"/>
                      <w:highlight w:val="none"/>
                      <w:lang w:val="en-US" w:eastAsia="zh-CN"/>
                    </w:rPr>
                    <w:t>10</w:t>
                  </w:r>
                  <w:r>
                    <w:rPr>
                      <w:b/>
                      <w:sz w:val="22"/>
                      <w:highlight w:val="none"/>
                    </w:rPr>
                    <w:t>00元/人）</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说明</w:t>
            </w:r>
          </w:p>
        </w:tc>
        <w:tc>
          <w:tcPr>
            <w:tcW w:w="6229" w:type="dxa"/>
            <w:gridSpan w:val="2"/>
          </w:tcPr>
          <w:p>
            <w:pPr>
              <w:jc w:val="left"/>
              <w:rPr>
                <w:rFonts w:hint="eastAsia" w:eastAsiaTheme="minorEastAsia"/>
                <w:lang w:eastAsia="zh-CN"/>
              </w:rPr>
            </w:pPr>
            <w:r>
              <w:t>打“★”号条款为实质性条款，若有任何一条负偏离或不满足则导致投标无效。</w:t>
            </w:r>
          </w:p>
          <w:p>
            <w:pPr>
              <w:jc w:val="left"/>
            </w:pPr>
            <w:r>
              <w:t>打“▲”号条款为重要技术参数，若有部分“▲”条款未响应或不满足，将导致其响应性评审加重扣分，但不作为无效投标条款。</w:t>
            </w:r>
          </w:p>
        </w:tc>
      </w:tr>
    </w:tbl>
    <w:p>
      <w:pPr>
        <w:jc w:val="center"/>
      </w:pPr>
      <w:r>
        <w:rPr>
          <w:b/>
          <w:sz w:val="36"/>
        </w:rPr>
        <w:t>第三章 投标人须知</w:t>
      </w:r>
    </w:p>
    <w:p>
      <w:pPr>
        <w:ind w:firstLine="480"/>
      </w:pPr>
      <w: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t>请注意：供应商需在投标文件截止时间前，将</w:t>
      </w:r>
      <w:r>
        <w:rPr>
          <w:rFonts w:hint="eastAsia"/>
          <w:lang w:val="en-US" w:eastAsia="zh-CN"/>
        </w:rPr>
        <w:t>相关材料邮寄至人事服务中心</w:t>
      </w:r>
      <w:r>
        <w:t>，逾期或错误方式投递送达将导致投标无效。</w:t>
      </w:r>
    </w:p>
    <w:p>
      <w:r>
        <w:rPr>
          <w:b/>
          <w:sz w:val="24"/>
        </w:rPr>
        <w:t>一、名词解释</w:t>
      </w:r>
    </w:p>
    <w:p>
      <w:pPr>
        <w:ind w:firstLine="480"/>
        <w:rPr>
          <w:highlight w:val="none"/>
        </w:rPr>
      </w:pPr>
      <w:r>
        <w:rPr>
          <w:rFonts w:hint="eastAsia"/>
          <w:lang w:val="en-US" w:eastAsia="zh-CN"/>
        </w:rPr>
        <w:t>1</w:t>
      </w:r>
      <w:r>
        <w:t>.采购人：</w:t>
      </w:r>
      <w:r>
        <w:rPr>
          <w:highlight w:val="none"/>
        </w:rPr>
        <w:t>本项目是指广州市</w:t>
      </w:r>
      <w:r>
        <w:rPr>
          <w:rFonts w:hint="eastAsia"/>
          <w:highlight w:val="none"/>
          <w:lang w:val="en-US" w:eastAsia="zh-CN"/>
        </w:rPr>
        <w:t>人事服务中心</w:t>
      </w:r>
      <w:r>
        <w:rPr>
          <w:highlight w:val="none"/>
        </w:rPr>
        <w:t>，是采购活动当事人之一，负责项目的整体规划、技术方案可行性设计论证与实施，作为合同采购方（用户）的主体承担质疑回复、履行合同、验收与评价等义务。</w:t>
      </w:r>
    </w:p>
    <w:p>
      <w:pPr>
        <w:ind w:firstLine="480"/>
        <w:rPr>
          <w:highlight w:val="none"/>
        </w:rPr>
      </w:pPr>
      <w:r>
        <w:rPr>
          <w:highlight w:val="none"/>
        </w:rPr>
        <w:t>3.投标人：是指</w:t>
      </w:r>
      <w:r>
        <w:rPr>
          <w:rFonts w:hint="eastAsia"/>
          <w:highlight w:val="none"/>
          <w:lang w:val="en-US" w:eastAsia="zh-CN"/>
        </w:rPr>
        <w:t>按招标文件提交投标</w:t>
      </w:r>
      <w:r>
        <w:rPr>
          <w:highlight w:val="none"/>
        </w:rPr>
        <w:t>文件的供应商。</w:t>
      </w:r>
    </w:p>
    <w:p>
      <w:pPr>
        <w:ind w:firstLine="480"/>
        <w:rPr>
          <w:highlight w:val="none"/>
        </w:rPr>
      </w:pPr>
      <w:r>
        <w:rPr>
          <w:highlight w:val="none"/>
        </w:rPr>
        <w:t>4.“评标委员会”是指根据</w:t>
      </w:r>
      <w:r>
        <w:rPr>
          <w:rFonts w:hint="eastAsia"/>
          <w:highlight w:val="none"/>
          <w:lang w:val="en-US" w:eastAsia="zh-CN"/>
        </w:rPr>
        <w:t>采购人要求</w:t>
      </w:r>
      <w:r>
        <w:rPr>
          <w:highlight w:val="none"/>
        </w:rPr>
        <w:t>，由采购人</w:t>
      </w:r>
      <w:r>
        <w:rPr>
          <w:rFonts w:hint="eastAsia"/>
          <w:highlight w:val="none"/>
          <w:lang w:val="en-US" w:eastAsia="zh-CN"/>
        </w:rPr>
        <w:t>所在单位评标人员</w:t>
      </w:r>
      <w:r>
        <w:rPr>
          <w:highlight w:val="none"/>
        </w:rPr>
        <w:t>组成以确定中标供应商的临时组织。</w:t>
      </w:r>
    </w:p>
    <w:p>
      <w:pPr>
        <w:ind w:firstLine="480"/>
      </w:pPr>
      <w:r>
        <w:t>5.“中标供应商”是指经评标委员会评审确定的对招标文件做出实质性响应，经采购人按照规定在评标委员会推荐的中标候选人中确定的或评标委员会受采购人委托直接确认的投标人。</w:t>
      </w:r>
    </w:p>
    <w:p>
      <w:pPr>
        <w:ind w:firstLine="480"/>
      </w:pPr>
      <w:r>
        <w:t>6.招标文件：是指包括招标公告和招标文件及其补充、变更和澄清等一系列文件。</w:t>
      </w:r>
    </w:p>
    <w:p>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7" w:type="dxa"/>
            <w:gridSpan w:val="3"/>
          </w:tcPr>
          <w:p>
            <w:r>
              <w:t>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序号</w:t>
            </w:r>
          </w:p>
        </w:tc>
        <w:tc>
          <w:tcPr>
            <w:tcW w:w="2252" w:type="dxa"/>
          </w:tcPr>
          <w:p>
            <w:r>
              <w:t>条款名称</w:t>
            </w:r>
          </w:p>
        </w:tc>
        <w:tc>
          <w:tcPr>
            <w:tcW w:w="5004" w:type="dxa"/>
          </w:tcPr>
          <w:p>
            <w: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p>
        </w:tc>
        <w:tc>
          <w:tcPr>
            <w:tcW w:w="2252" w:type="dxa"/>
          </w:tcPr>
          <w:p>
            <w:r>
              <w:t>采购包情况</w:t>
            </w:r>
          </w:p>
        </w:tc>
        <w:tc>
          <w:tcPr>
            <w:tcW w:w="5004" w:type="dxa"/>
          </w:tcPr>
          <w:p>
            <w:r>
              <w:t>本项目共2个采购包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w:t>
            </w:r>
          </w:p>
        </w:tc>
        <w:tc>
          <w:tcPr>
            <w:tcW w:w="2252" w:type="dxa"/>
          </w:tcPr>
          <w:p>
            <w:r>
              <w:t>开标方式</w:t>
            </w:r>
          </w:p>
        </w:tc>
        <w:tc>
          <w:tcPr>
            <w:tcW w:w="5004" w:type="dxa"/>
          </w:tcPr>
          <w:p>
            <w:r>
              <w:t>现场电子开标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3</w:t>
            </w:r>
          </w:p>
        </w:tc>
        <w:tc>
          <w:tcPr>
            <w:tcW w:w="2252" w:type="dxa"/>
          </w:tcPr>
          <w:p>
            <w:r>
              <w:t>评标方式</w:t>
            </w:r>
          </w:p>
        </w:tc>
        <w:tc>
          <w:tcPr>
            <w:tcW w:w="5004" w:type="dxa"/>
          </w:tcPr>
          <w:p>
            <w:r>
              <w:rPr>
                <w:rFonts w:hint="eastAsia"/>
                <w:lang w:val="en-US" w:eastAsia="zh-CN"/>
              </w:rPr>
              <w:t>采购人</w:t>
            </w:r>
            <w:r>
              <w:t>评标</w:t>
            </w:r>
            <w:r>
              <w:rPr>
                <w:rFonts w:hint="eastAsia"/>
                <w:lang w:val="en-US" w:eastAsia="zh-CN"/>
              </w:rPr>
              <w:t>委员会评审</w:t>
            </w:r>
            <w:r>
              <w:t>（供应商应当审慎标记各评审项的应答部分，标记内容清晰且完整，否则将自行承担不利后果）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4</w:t>
            </w:r>
          </w:p>
        </w:tc>
        <w:tc>
          <w:tcPr>
            <w:tcW w:w="2252" w:type="dxa"/>
          </w:tcPr>
          <w:p>
            <w:r>
              <w:t>评标办法</w:t>
            </w:r>
          </w:p>
        </w:tc>
        <w:tc>
          <w:tcPr>
            <w:tcW w:w="5004" w:type="dxa"/>
          </w:tcPr>
          <w:p>
            <w:r>
              <w:t>采购包1：综合评分法</w:t>
            </w:r>
          </w:p>
          <w:p>
            <w:r>
              <w:t>采购包2：综合评分法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5</w:t>
            </w:r>
          </w:p>
        </w:tc>
        <w:tc>
          <w:tcPr>
            <w:tcW w:w="2252" w:type="dxa"/>
          </w:tcPr>
          <w:p>
            <w:r>
              <w:t>报价形式</w:t>
            </w:r>
          </w:p>
        </w:tc>
        <w:tc>
          <w:tcPr>
            <w:tcW w:w="5004" w:type="dxa"/>
          </w:tcPr>
          <w:p>
            <w:r>
              <w:t>采购包1：总价</w:t>
            </w:r>
          </w:p>
          <w:p>
            <w:r>
              <w:t>采购包2：总价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6</w:t>
            </w:r>
          </w:p>
        </w:tc>
        <w:tc>
          <w:tcPr>
            <w:tcW w:w="2252" w:type="dxa"/>
          </w:tcPr>
          <w:p>
            <w:r>
              <w:t>报价要求</w:t>
            </w:r>
          </w:p>
        </w:tc>
        <w:tc>
          <w:tcPr>
            <w:tcW w:w="5004" w:type="dxa"/>
          </w:tcPr>
          <w:p>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7</w:t>
            </w:r>
          </w:p>
        </w:tc>
        <w:tc>
          <w:tcPr>
            <w:tcW w:w="2252" w:type="dxa"/>
          </w:tcPr>
          <w:p>
            <w:r>
              <w:t>现场踏勘</w:t>
            </w:r>
          </w:p>
        </w:tc>
        <w:tc>
          <w:tcPr>
            <w:tcW w:w="5004" w:type="dxa"/>
          </w:tcPr>
          <w:p>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8</w:t>
            </w:r>
          </w:p>
        </w:tc>
        <w:tc>
          <w:tcPr>
            <w:tcW w:w="2252" w:type="dxa"/>
          </w:tcPr>
          <w:p>
            <w:r>
              <w:t>投标有效期</w:t>
            </w:r>
          </w:p>
        </w:tc>
        <w:tc>
          <w:tcPr>
            <w:tcW w:w="5004" w:type="dxa"/>
          </w:tcPr>
          <w:p>
            <w:r>
              <w:t>从提交投标（响应）</w:t>
            </w:r>
            <w:r>
              <w:rPr>
                <w:highlight w:val="none"/>
              </w:rPr>
              <w:t>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9</w:t>
            </w:r>
          </w:p>
        </w:tc>
        <w:tc>
          <w:tcPr>
            <w:tcW w:w="2252" w:type="dxa"/>
          </w:tcPr>
          <w:p>
            <w:r>
              <w:t>投标保证金</w:t>
            </w:r>
          </w:p>
        </w:tc>
        <w:tc>
          <w:tcPr>
            <w:tcW w:w="5004" w:type="dxa"/>
          </w:tcPr>
          <w:p>
            <w:r>
              <w:t>采购包1：保证金人民币：0.00元整。采购包2：保证金人民币：0.00元整。</w:t>
            </w:r>
          </w:p>
          <w:p>
            <w:r>
              <w:t>开户单位：无</w:t>
            </w:r>
          </w:p>
          <w:p>
            <w:r>
              <w:t>开户账号：无</w:t>
            </w:r>
          </w:p>
          <w:p>
            <w:r>
              <w:t>开户银行：无</w:t>
            </w:r>
          </w:p>
          <w:p>
            <w:r>
              <w:t>支票提交方式：无</w:t>
            </w:r>
          </w:p>
          <w:p>
            <w:r>
              <w:t>汇票、本票提交方式：无</w:t>
            </w:r>
          </w:p>
          <w:p>
            <w:r>
              <w:t>投标保证金有效期∶与投标有效期一致。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10</w:t>
            </w:r>
          </w:p>
        </w:tc>
        <w:tc>
          <w:tcPr>
            <w:tcW w:w="2252" w:type="dxa"/>
          </w:tcPr>
          <w:p>
            <w:r>
              <w:t>投标文件要求</w:t>
            </w:r>
          </w:p>
        </w:tc>
        <w:tc>
          <w:tcPr>
            <w:tcW w:w="5004" w:type="dxa"/>
          </w:tcPr>
          <w:p>
            <w:pPr>
              <w:ind w:firstLine="480"/>
              <w:rPr>
                <w:rFonts w:hint="eastAsia" w:eastAsiaTheme="minorEastAsia"/>
                <w:b/>
                <w:lang w:eastAsia="zh-CN"/>
              </w:rPr>
            </w:pPr>
            <w:r>
              <w:rPr>
                <w:rFonts w:hint="eastAsia"/>
                <w:b/>
                <w:lang w:val="en-US" w:eastAsia="zh-CN"/>
              </w:rPr>
              <w:t>一</w:t>
            </w:r>
            <w:r>
              <w:rPr>
                <w:b/>
              </w:rPr>
              <w:t>、纸质投标文件：</w:t>
            </w:r>
          </w:p>
          <w:p>
            <w:r>
              <w:t>（</w:t>
            </w:r>
            <w:r>
              <w:rPr>
                <w:rFonts w:hint="eastAsia"/>
                <w:lang w:val="en-US" w:eastAsia="zh-CN"/>
              </w:rPr>
              <w:t>1</w:t>
            </w:r>
            <w:r>
              <w:t>）纸质投标文件正本1份，纸质投标文件副本5份。纸质投标文件应与电子投标文件一致（递交的纸质文件需密封完好，注明“正本”和“副本”字样，正本和副本分别封装。如果正本与副本不符，应以正本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11</w:t>
            </w:r>
          </w:p>
        </w:tc>
        <w:tc>
          <w:tcPr>
            <w:tcW w:w="2252" w:type="dxa"/>
          </w:tcPr>
          <w:p>
            <w:r>
              <w:t>中标候选供应商推荐家数</w:t>
            </w:r>
          </w:p>
        </w:tc>
        <w:tc>
          <w:tcPr>
            <w:tcW w:w="5004" w:type="dxa"/>
          </w:tcPr>
          <w:p>
            <w:r>
              <w:t>采购包1：</w:t>
            </w:r>
            <w:r>
              <w:rPr>
                <w:rFonts w:hint="eastAsia"/>
                <w:lang w:val="en-US" w:eastAsia="zh-CN"/>
              </w:rPr>
              <w:t>2</w:t>
            </w:r>
            <w:r>
              <w:t>家</w:t>
            </w:r>
          </w:p>
          <w:p>
            <w:r>
              <w:t>采购包2：</w:t>
            </w:r>
            <w:r>
              <w:rPr>
                <w:rFonts w:hint="eastAsia"/>
                <w:lang w:val="en-US" w:eastAsia="zh-CN"/>
              </w:rPr>
              <w:t>2</w:t>
            </w:r>
            <w:r>
              <w:t>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12</w:t>
            </w:r>
          </w:p>
        </w:tc>
        <w:tc>
          <w:tcPr>
            <w:tcW w:w="2252" w:type="dxa"/>
          </w:tcPr>
          <w:p>
            <w:pPr>
              <w:ind w:firstLine="480"/>
            </w:pPr>
            <w:r>
              <w:t>中标供应商数量</w:t>
            </w:r>
          </w:p>
        </w:tc>
        <w:tc>
          <w:tcPr>
            <w:tcW w:w="5004" w:type="dxa"/>
          </w:tcPr>
          <w:p>
            <w:r>
              <w:t>采购包1：1家</w:t>
            </w:r>
          </w:p>
          <w:p>
            <w:r>
              <w:t>采购包2：1家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13</w:t>
            </w:r>
          </w:p>
        </w:tc>
        <w:tc>
          <w:tcPr>
            <w:tcW w:w="2252" w:type="dxa"/>
          </w:tcPr>
          <w:p>
            <w:pPr>
              <w:ind w:firstLine="480"/>
            </w:pPr>
            <w:r>
              <w:t>有效供应商家数</w:t>
            </w:r>
          </w:p>
        </w:tc>
        <w:tc>
          <w:tcPr>
            <w:tcW w:w="5004" w:type="dxa"/>
          </w:tcPr>
          <w:p>
            <w:r>
              <w:t>采购包1：3家</w:t>
            </w:r>
          </w:p>
          <w:p>
            <w:r>
              <w:t>采购包2：3家</w:t>
            </w:r>
          </w:p>
          <w:p>
            <w:pPr>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14</w:t>
            </w:r>
          </w:p>
        </w:tc>
        <w:tc>
          <w:tcPr>
            <w:tcW w:w="2252" w:type="dxa"/>
          </w:tcPr>
          <w:p>
            <w:r>
              <w:t>项目兼投兼中规则</w:t>
            </w:r>
          </w:p>
        </w:tc>
        <w:tc>
          <w:tcPr>
            <w:tcW w:w="5004" w:type="dxa"/>
          </w:tcPr>
          <w:p>
            <w:r>
              <w:t>兼投不兼中：兼投不可兼中，中标顺序为先采购包1后采购包2。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15</w:t>
            </w:r>
          </w:p>
        </w:tc>
        <w:tc>
          <w:tcPr>
            <w:tcW w:w="2252" w:type="dxa"/>
          </w:tcPr>
          <w:p>
            <w:r>
              <w:t>中标供应商确定方式</w:t>
            </w:r>
          </w:p>
        </w:tc>
        <w:tc>
          <w:tcPr>
            <w:tcW w:w="5004" w:type="dxa"/>
          </w:tcPr>
          <w:p>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16</w:t>
            </w:r>
          </w:p>
        </w:tc>
        <w:tc>
          <w:tcPr>
            <w:tcW w:w="2252" w:type="dxa"/>
          </w:tcPr>
          <w:p>
            <w:r>
              <w:t>代理服务费</w:t>
            </w:r>
          </w:p>
        </w:tc>
        <w:tc>
          <w:tcPr>
            <w:tcW w:w="5004" w:type="dxa"/>
          </w:tcPr>
          <w:p>
            <w:pPr>
              <w:rPr>
                <w:rFonts w:hint="eastAsia" w:eastAsiaTheme="minorEastAsia"/>
                <w:lang w:val="en-US" w:eastAsia="zh-CN"/>
              </w:rPr>
            </w:pPr>
            <w:r>
              <w:rPr>
                <w:rFonts w:hint="eastAsia"/>
                <w:lang w:val="en-US"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17</w:t>
            </w:r>
          </w:p>
        </w:tc>
        <w:tc>
          <w:tcPr>
            <w:tcW w:w="2252" w:type="dxa"/>
          </w:tcPr>
          <w:p>
            <w:r>
              <w:t>代理服务费收取方式</w:t>
            </w:r>
          </w:p>
        </w:tc>
        <w:tc>
          <w:tcPr>
            <w:tcW w:w="5004" w:type="dxa"/>
          </w:tcPr>
          <w:p>
            <w:pPr>
              <w:rPr>
                <w:rFonts w:hint="eastAsia" w:eastAsiaTheme="minorEastAsia"/>
                <w:lang w:eastAsia="zh-CN"/>
              </w:rPr>
            </w:pPr>
            <w:r>
              <w:rPr>
                <w:rFonts w:hint="eastAsia"/>
                <w:lang w:val="en-US"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18</w:t>
            </w:r>
          </w:p>
        </w:tc>
        <w:tc>
          <w:tcPr>
            <w:tcW w:w="2252" w:type="dxa"/>
          </w:tcPr>
          <w:p>
            <w:r>
              <w:t>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19</w:t>
            </w:r>
          </w:p>
        </w:tc>
        <w:tc>
          <w:tcPr>
            <w:tcW w:w="2252" w:type="dxa"/>
          </w:tcPr>
          <w:p>
            <w:r>
              <w:t>开标解密时长</w:t>
            </w:r>
          </w:p>
        </w:tc>
        <w:tc>
          <w:tcPr>
            <w:tcW w:w="5004" w:type="dxa"/>
          </w:tcPr>
          <w:p>
            <w:r>
              <w:t>说明：具体情况根据开标时现场设置为准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20</w:t>
            </w:r>
          </w:p>
        </w:tc>
        <w:tc>
          <w:tcPr>
            <w:tcW w:w="2252" w:type="dxa"/>
          </w:tcPr>
          <w:p>
            <w:r>
              <w:t>专门面向中小企业采购</w:t>
            </w:r>
          </w:p>
        </w:tc>
        <w:tc>
          <w:tcPr>
            <w:tcW w:w="5004" w:type="dxa"/>
          </w:tcPr>
          <w:p>
            <w:pPr>
              <w:jc w:val="left"/>
            </w:pPr>
            <w:r>
              <w:t>采购包1：非专门面向中小企业</w:t>
            </w:r>
          </w:p>
          <w:p>
            <w:pPr>
              <w:jc w:val="left"/>
            </w:pPr>
            <w:r>
              <w:t>采购包2：非专门面向中小企业</w:t>
            </w:r>
          </w:p>
        </w:tc>
      </w:tr>
    </w:tbl>
    <w:p>
      <w:r>
        <w:rPr>
          <w:b/>
          <w:sz w:val="28"/>
        </w:rPr>
        <w:t>三、说明</w:t>
      </w:r>
    </w:p>
    <w:p>
      <w:r>
        <w:rPr>
          <w:b/>
          <w:sz w:val="24"/>
        </w:rPr>
        <w:t>1.总则</w:t>
      </w:r>
    </w:p>
    <w:p>
      <w:pPr>
        <w:ind w:firstLine="480"/>
      </w:pPr>
      <w:r>
        <w:t>采购人、采购代理机构及投标人进行的本次采购活动适用《中华人民共和国政府采购法》及其配套的法规、规章、政策。</w:t>
      </w:r>
    </w:p>
    <w:p>
      <w:pPr>
        <w:ind w:firstLine="480"/>
      </w:pPr>
      <w: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t>本次公开招标项目，是以招标公告的方式邀请非特定的投标人参加投标。</w:t>
      </w:r>
    </w:p>
    <w:p>
      <w:r>
        <w:rPr>
          <w:b/>
          <w:sz w:val="24"/>
        </w:rPr>
        <w:t>2.适用范围</w:t>
      </w:r>
    </w:p>
    <w:p>
      <w:pPr>
        <w:ind w:firstLine="480"/>
      </w:pPr>
      <w:r>
        <w:t>本招标文件仅适用于本次招标公告中所涉及的项目和内容。</w:t>
      </w:r>
    </w:p>
    <w:p>
      <w:r>
        <w:rPr>
          <w:b/>
          <w:sz w:val="24"/>
        </w:rPr>
        <w:t>3.进口产品</w:t>
      </w:r>
    </w:p>
    <w:p>
      <w:pPr>
        <w:ind w:firstLine="480"/>
      </w:pPr>
      <w:r>
        <w:t>若本项目允许采购进口产品，供应商应保证所投产品可履行合法报通关手续进入中国关境内。</w:t>
      </w:r>
    </w:p>
    <w:p>
      <w:pPr>
        <w:ind w:firstLine="480"/>
      </w:pPr>
      <w:r>
        <w:t>若本项目不允许采购进口产品，如供应商所投产品为进口产品，其响应将被认定为响应无效。</w:t>
      </w:r>
    </w:p>
    <w:p>
      <w:r>
        <w:rPr>
          <w:b/>
          <w:sz w:val="24"/>
        </w:rPr>
        <w:t>4.投标的费用</w:t>
      </w:r>
    </w:p>
    <w:p>
      <w:pPr>
        <w:ind w:firstLine="480"/>
      </w:pPr>
      <w:r>
        <w:t>不论投标结果如何，投标人应承担所有与准备和参加投标有关的费用。采购人无义务和责任承担相关费用。</w:t>
      </w:r>
    </w:p>
    <w:p>
      <w:r>
        <w:rPr>
          <w:b/>
          <w:sz w:val="24"/>
        </w:rPr>
        <w:t>5.以联合体形式投标的，应符合以下规定：</w:t>
      </w:r>
    </w:p>
    <w:p>
      <w:pPr>
        <w:ind w:firstLine="480"/>
      </w:pPr>
      <w:r>
        <w:t>5.1联合体各方均应当满足《中华人民共和国政府采购法》第二十二条规定的条件，并在投标文件中提供联合体各方的相关证明材料。</w:t>
      </w:r>
    </w:p>
    <w:p>
      <w:pPr>
        <w:ind w:firstLine="480"/>
      </w:pPr>
      <w:r>
        <w:t>5.2</w:t>
      </w:r>
      <w:r>
        <w:tab/>
      </w:r>
      <w:r>
        <w:t>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t>5.3</w:t>
      </w:r>
      <w:r>
        <w:tab/>
      </w:r>
      <w:r>
        <w:t>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t>5.4联合体成员存在不良信用记录的，视同联合体存在不良信用记录。</w:t>
      </w:r>
    </w:p>
    <w:p>
      <w:pPr>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t>5.6联合体各方应当共同与采购人签订采购合同，就合同约定的事项对采购人承担连带责任。</w:t>
      </w:r>
    </w:p>
    <w:p>
      <w:r>
        <w:rPr>
          <w:b/>
          <w:sz w:val="24"/>
        </w:rPr>
        <w:t>6.关联企业投标说明</w:t>
      </w:r>
    </w:p>
    <w:p>
      <w:pPr>
        <w:ind w:firstLine="480"/>
      </w:pPr>
      <w:r>
        <w:t>6.1</w:t>
      </w:r>
      <w:r>
        <w:tab/>
      </w:r>
      <w:r>
        <w:t>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t>6.2</w:t>
      </w:r>
      <w:r>
        <w:tab/>
      </w:r>
      <w:r>
        <w:t>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ind w:firstLine="480"/>
      </w:pPr>
      <w:r>
        <w:t>根据财库〔2014〕68号《财政部</w:t>
      </w:r>
      <w:r>
        <w:rPr>
          <w:rFonts w:hint="eastAsia"/>
          <w:lang w:val="en-US" w:eastAsia="zh-CN"/>
        </w:rPr>
        <w:t xml:space="preserve"> </w:t>
      </w:r>
      <w: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t>根据财库〔2017〕141号《财政部 民政部</w:t>
      </w:r>
      <w:r>
        <w:rPr>
          <w:rFonts w:hint="eastAsia"/>
          <w:lang w:val="en-US" w:eastAsia="zh-CN"/>
        </w:rPr>
        <w:t xml:space="preserve"> </w:t>
      </w:r>
      <w:r>
        <w:t>中国残疾人联合会关于促进残疾人就业政府采购政策的通知》，在政府采购活动中，残疾人福利性单位视同小型、微型企业，享受政府采购支持政策的残疾人福利性单位应当同时满足《财政部 民政部</w:t>
      </w:r>
      <w:r>
        <w:tab/>
      </w:r>
      <w:r>
        <w:rPr>
          <w:rFonts w:hint="eastAsia"/>
          <w:lang w:val="en-US" w:eastAsia="zh-CN"/>
        </w:rPr>
        <w:t xml:space="preserve"> </w:t>
      </w:r>
      <w: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t>8.2在确定中标供应商之前，投标人不得与采购人就投标价格、投标方案等实质性内容进行谈判，也不得私下接触评标委员会成员。</w:t>
      </w:r>
    </w:p>
    <w:p>
      <w:pPr>
        <w:ind w:firstLine="480"/>
      </w:pPr>
      <w:r>
        <w:t>8.3在确定中标供应商之前，投标人试图在投标文件审查、澄清、比较和评价时对评标委员会、采购人施加任何影响都可能导致其投标无效。</w:t>
      </w:r>
    </w:p>
    <w:p>
      <w:pPr>
        <w:ind w:firstLine="480"/>
      </w:pPr>
      <w:r>
        <w:t>8.4获得本招标文件者，须履行本项目下保密义务，不得将因本次项目获得的信息向第三人外传，不得将招标文件用作本次投标以外的任何用途。</w:t>
      </w:r>
    </w:p>
    <w:p>
      <w:pPr>
        <w:ind w:firstLine="480"/>
      </w:pPr>
      <w: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t>8.6采购人或采购代理机构有权将供应商提供的所有资料向有关政府部门或评审小组披露。</w:t>
      </w:r>
    </w:p>
    <w:p>
      <w:pPr>
        <w:ind w:firstLine="480"/>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t>9.2除非招标文件的技术规格中另有规定，投标人在投标文件中及其与采购人和采购代理机构的所有往来文件中的计量单位均应采用中华人民共和国法定计量单位。</w:t>
      </w:r>
    </w:p>
    <w:p>
      <w:pPr>
        <w:ind w:firstLine="480"/>
      </w:pPr>
      <w:r>
        <w:t>9.3投标人所提供的货物和服务均应以人民币报价，货币单位：元。</w:t>
      </w:r>
    </w:p>
    <w:p>
      <w:r>
        <w:rPr>
          <w:b/>
          <w:sz w:val="24"/>
        </w:rPr>
        <w:t>10. 现场踏勘（如有）</w:t>
      </w:r>
    </w:p>
    <w:p>
      <w:pPr>
        <w:ind w:firstLine="480"/>
      </w:pPr>
      <w:r>
        <w:t>10.1招标文件规定组织踏勘现场的，采购人按招标文件规定的时间、地点组织投标人踏勘项目现场。</w:t>
      </w:r>
    </w:p>
    <w:p>
      <w:pPr>
        <w:ind w:firstLine="480"/>
      </w:pPr>
      <w:r>
        <w:t>10.2投标人自行承担踏勘现场发生的责任、风险和自身费用。</w:t>
      </w:r>
    </w:p>
    <w:p>
      <w:pPr>
        <w:ind w:firstLine="480"/>
      </w:pPr>
      <w:r>
        <w:t>10.3采购人在踏勘现场中介绍的资料和数据等，只是为了使投标人能够利用招标人现有的资料。招标人对投标人由此而作出的推论、解释和结论概不负责。</w:t>
      </w:r>
    </w:p>
    <w:p>
      <w:r>
        <w:rPr>
          <w:b/>
          <w:sz w:val="24"/>
        </w:rPr>
        <w:t>11.关于分支机构投标</w:t>
      </w:r>
    </w:p>
    <w:p>
      <w:pPr>
        <w:ind w:firstLine="480"/>
      </w:pPr>
      <w:r>
        <w:t>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r>
        <w:rPr>
          <w:rFonts w:hint="eastAsia"/>
          <w:b/>
          <w:sz w:val="28"/>
          <w:lang w:val="en-US" w:eastAsia="zh-CN"/>
        </w:rPr>
        <w:t>四</w:t>
      </w:r>
      <w:r>
        <w:rPr>
          <w:b/>
          <w:sz w:val="28"/>
        </w:rPr>
        <w:t>、投标要求</w:t>
      </w:r>
    </w:p>
    <w:p>
      <w:r>
        <w:rPr>
          <w:b/>
          <w:sz w:val="24"/>
        </w:rPr>
        <w:t>1.投标登记</w:t>
      </w:r>
    </w:p>
    <w:p>
      <w:pPr>
        <w:ind w:firstLine="480"/>
      </w:pPr>
      <w:r>
        <w:t>投标人应从</w:t>
      </w:r>
      <w:r>
        <w:rPr>
          <w:rFonts w:hint="eastAsia"/>
          <w:lang w:val="en-US" w:eastAsia="zh-CN"/>
        </w:rPr>
        <w:t>广州市人力资源和社会保障局官网</w:t>
      </w:r>
      <w:r>
        <w:t>（</w:t>
      </w:r>
      <w:r>
        <w:rPr>
          <w:rFonts w:hint="eastAsia"/>
        </w:rPr>
        <w:t>http://rsj.gz.gov.cn/</w:t>
      </w:r>
      <w:r>
        <w:t>）上在线获取招标文件（未按上述方式获取招标文件的供应商，其投标资格将被视为无效）。</w:t>
      </w:r>
    </w:p>
    <w:p>
      <w:r>
        <w:rPr>
          <w:b/>
          <w:sz w:val="24"/>
        </w:rPr>
        <w:t>2.投标文件的制作</w:t>
      </w:r>
    </w:p>
    <w:p>
      <w:pPr>
        <w:ind w:firstLine="480"/>
      </w:pPr>
      <w:r>
        <w:t>2.1投标文件中，所有内容均以</w:t>
      </w:r>
      <w:r>
        <w:rPr>
          <w:rFonts w:hint="eastAsia"/>
          <w:lang w:val="en-US" w:eastAsia="zh-CN"/>
        </w:rPr>
        <w:t>纸质</w:t>
      </w:r>
      <w:r>
        <w:t>文件</w:t>
      </w:r>
      <w:r>
        <w:rPr>
          <w:rFonts w:hint="eastAsia"/>
          <w:lang w:val="en-US" w:eastAsia="zh-CN"/>
        </w:rPr>
        <w:t>呈现</w:t>
      </w:r>
      <w:r>
        <w:t>，其格式要求详见第六章说明。建议至少提前一天完成制作、提交工作。</w:t>
      </w:r>
    </w:p>
    <w:p>
      <w:pPr>
        <w:ind w:firstLine="480"/>
      </w:pPr>
      <w:r>
        <w:t>2.</w:t>
      </w:r>
      <w:r>
        <w:rPr>
          <w:rFonts w:hint="eastAsia"/>
          <w:lang w:val="en-US" w:eastAsia="zh-CN"/>
        </w:rPr>
        <w:t>2</w:t>
      </w:r>
      <w:r>
        <w:t xml:space="preserve"> 如有对多个采购包投标的，要对每个采购包独立制作投标文件。</w:t>
      </w:r>
    </w:p>
    <w:p>
      <w:pPr>
        <w:ind w:firstLine="480"/>
      </w:pPr>
      <w:r>
        <w:t>2.</w:t>
      </w:r>
      <w:r>
        <w:rPr>
          <w:rFonts w:hint="eastAsia"/>
          <w:lang w:val="en-US" w:eastAsia="zh-CN"/>
        </w:rPr>
        <w:t>3</w:t>
      </w:r>
      <w:r>
        <w:t>投标人不得将同一个项目或同一个采购包的内容拆开投标，否则其报价将被视为非实质性响应。</w:t>
      </w:r>
    </w:p>
    <w:p>
      <w:pPr>
        <w:ind w:firstLine="480"/>
      </w:pPr>
      <w:r>
        <w:t>2.</w:t>
      </w:r>
      <w:r>
        <w:rPr>
          <w:rFonts w:hint="eastAsia"/>
          <w:lang w:val="en-US" w:eastAsia="zh-CN"/>
        </w:rPr>
        <w:t>4</w:t>
      </w:r>
      <w:r>
        <w:t>投标人须对招标文件的对应要求给予唯一的实质性响应，否则将视为不响应。</w:t>
      </w:r>
    </w:p>
    <w:p>
      <w:pPr>
        <w:ind w:firstLine="480"/>
      </w:pPr>
      <w:r>
        <w:t>2.</w:t>
      </w:r>
      <w:r>
        <w:rPr>
          <w:rFonts w:hint="eastAsia"/>
          <w:lang w:val="en-US" w:eastAsia="zh-CN"/>
        </w:rPr>
        <w:t>5</w:t>
      </w:r>
      <w:r>
        <w:t>招标文件中，凡标有“★”的地方均为实质性响应条款，投标人若有一项带“★”的条款未响应或不满足，将按无效投标处理。</w:t>
      </w:r>
    </w:p>
    <w:p>
      <w:pPr>
        <w:ind w:firstLine="480"/>
      </w:pPr>
      <w:r>
        <w:t>2.</w:t>
      </w:r>
      <w:r>
        <w:rPr>
          <w:rFonts w:hint="eastAsia"/>
          <w:lang w:val="en-US" w:eastAsia="zh-CN"/>
        </w:rPr>
        <w:t>6</w:t>
      </w:r>
      <w:r>
        <w:t>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t>2.</w:t>
      </w:r>
      <w:r>
        <w:rPr>
          <w:rFonts w:hint="eastAsia"/>
          <w:lang w:val="en-US" w:eastAsia="zh-CN"/>
        </w:rPr>
        <w:t>7</w:t>
      </w:r>
      <w:r>
        <w:t>投标文件以及投标人与采购人就有关投标的往来函电均应使用中文。投标人提交的支持性文件和印制的文件可以用另一种语言，但相应内容应翻译成中文，在解释投标文件时以中文文本为准。</w:t>
      </w:r>
    </w:p>
    <w:p>
      <w:pPr>
        <w:ind w:firstLine="480"/>
      </w:pPr>
      <w:r>
        <w:t>2.</w:t>
      </w:r>
      <w:r>
        <w:rPr>
          <w:rFonts w:hint="eastAsia"/>
          <w:lang w:val="en-US" w:eastAsia="zh-CN"/>
        </w:rPr>
        <w:t>8</w:t>
      </w:r>
      <w: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rPr>
          <w:rFonts w:hint="eastAsia"/>
          <w:lang w:val="en-US" w:eastAsia="zh-CN"/>
        </w:rPr>
      </w:pPr>
      <w:r>
        <w:t>3.1在投标文件提交截止时间前，投标人须将投标文件</w:t>
      </w:r>
      <w:r>
        <w:rPr>
          <w:rFonts w:hint="eastAsia"/>
          <w:lang w:val="en-US" w:eastAsia="zh-CN"/>
        </w:rPr>
        <w:t>邮寄至采购人</w:t>
      </w:r>
      <w:r>
        <w:t>。投标截止时间结束后，</w:t>
      </w:r>
      <w:r>
        <w:rPr>
          <w:rFonts w:hint="eastAsia"/>
          <w:lang w:val="en-US" w:eastAsia="zh-CN"/>
        </w:rPr>
        <w:t>采购人</w:t>
      </w:r>
      <w:r>
        <w:t>将</w:t>
      </w:r>
      <w:r>
        <w:rPr>
          <w:rFonts w:hint="eastAsia"/>
          <w:lang w:val="en-US" w:eastAsia="zh-CN"/>
        </w:rPr>
        <w:t>不再接收相关文件。</w:t>
      </w:r>
    </w:p>
    <w:p>
      <w:pPr>
        <w:ind w:firstLine="480"/>
      </w:pPr>
      <w:r>
        <w:t>3.</w:t>
      </w:r>
      <w:r>
        <w:rPr>
          <w:rFonts w:hint="eastAsia"/>
          <w:lang w:val="en-US" w:eastAsia="zh-CN"/>
        </w:rPr>
        <w:t>2</w:t>
      </w:r>
      <w:r>
        <w:t>出现下述情形之一，属于未成功提交投标文件，按无效投标处理：</w:t>
      </w:r>
    </w:p>
    <w:p>
      <w:pPr>
        <w:ind w:firstLine="480"/>
      </w:pPr>
      <w:r>
        <w:t>（1）至提交投标文件截止时，投标文件未</w:t>
      </w:r>
      <w:r>
        <w:rPr>
          <w:rFonts w:hint="eastAsia"/>
          <w:lang w:val="en-US" w:eastAsia="zh-CN"/>
        </w:rPr>
        <w:t>收到</w:t>
      </w:r>
      <w:r>
        <w:t>。</w:t>
      </w:r>
    </w:p>
    <w:p>
      <w:pPr>
        <w:ind w:firstLine="480"/>
      </w:pPr>
      <w:r>
        <w:t>（2）投标文件未按投标格式中注明需签字盖章的要求进行签名和加盖印章，或签名</w:t>
      </w:r>
      <w:r>
        <w:rPr>
          <w:rFonts w:hint="eastAsia"/>
          <w:lang w:val="en-US" w:eastAsia="zh-CN"/>
        </w:rPr>
        <w:t>和</w:t>
      </w:r>
      <w:r>
        <w:t>电子印章不完整的。</w:t>
      </w:r>
    </w:p>
    <w:p>
      <w:r>
        <w:rPr>
          <w:rFonts w:hint="eastAsia"/>
          <w:b/>
          <w:sz w:val="24"/>
          <w:lang w:val="en-US" w:eastAsia="zh-CN"/>
        </w:rPr>
        <w:t>4</w:t>
      </w:r>
      <w:r>
        <w:rPr>
          <w:b/>
          <w:sz w:val="24"/>
        </w:rPr>
        <w:t>.投标保证金</w:t>
      </w:r>
    </w:p>
    <w:p>
      <w:pPr>
        <w:ind w:firstLine="480"/>
      </w:pPr>
      <w:r>
        <w:t>本项目不收取投标保证金</w:t>
      </w:r>
    </w:p>
    <w:p>
      <w:r>
        <w:rPr>
          <w:rFonts w:hint="eastAsia"/>
          <w:b/>
          <w:sz w:val="24"/>
          <w:lang w:val="en-US" w:eastAsia="zh-CN"/>
        </w:rPr>
        <w:t>5</w:t>
      </w:r>
      <w:r>
        <w:rPr>
          <w:b/>
          <w:sz w:val="24"/>
        </w:rPr>
        <w:t>.投标有效期</w:t>
      </w:r>
    </w:p>
    <w:p>
      <w:pPr>
        <w:ind w:firstLine="480"/>
      </w:pPr>
      <w:r>
        <w:t>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rFonts w:hint="eastAsia"/>
          <w:b/>
          <w:sz w:val="24"/>
          <w:lang w:val="en-US" w:eastAsia="zh-CN"/>
        </w:rPr>
        <w:t>6</w:t>
      </w:r>
      <w:r>
        <w:rPr>
          <w:b/>
          <w:sz w:val="24"/>
        </w:rPr>
        <w:t>.样品（演示）</w:t>
      </w:r>
    </w:p>
    <w:p>
      <w:pPr>
        <w:ind w:firstLine="480"/>
      </w:pPr>
      <w:r>
        <w:rPr>
          <w:rFonts w:hint="eastAsia"/>
          <w:lang w:val="en-US" w:eastAsia="zh-CN"/>
        </w:rPr>
        <w:t>6</w:t>
      </w:r>
      <w:r>
        <w:t>.1招标文件规定投标人提交样品的，样品属于投标文件的组成部分。样品的生产、运输、安装、保全等一切费用由投标人自理。</w:t>
      </w:r>
    </w:p>
    <w:p>
      <w:pPr>
        <w:ind w:firstLine="480"/>
      </w:pPr>
      <w:r>
        <w:rPr>
          <w:rFonts w:hint="eastAsia"/>
          <w:lang w:val="en-US" w:eastAsia="zh-CN"/>
        </w:rPr>
        <w:t>6</w:t>
      </w:r>
      <w:r>
        <w:t>.2投标截止时间前，投标人应将样品送达至指定地点。若需要现场演示的，投标人应提前做好演示准备（包括演示设备）。</w:t>
      </w:r>
    </w:p>
    <w:p>
      <w:pPr>
        <w:ind w:firstLine="480"/>
      </w:pPr>
      <w:r>
        <w:rPr>
          <w:rFonts w:hint="eastAsia"/>
          <w:lang w:val="en-US" w:eastAsia="zh-CN"/>
        </w:rPr>
        <w:t>6</w:t>
      </w:r>
      <w:r>
        <w:t>.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rFonts w:hint="eastAsia"/>
          <w:b/>
          <w:sz w:val="24"/>
          <w:lang w:val="en-US" w:eastAsia="zh-CN"/>
        </w:rPr>
        <w:t>7</w:t>
      </w:r>
      <w:r>
        <w:rPr>
          <w:b/>
          <w:sz w:val="24"/>
        </w:rPr>
        <w:t>.除招标文件另有规定外，有下列情形之一的，投标无效：</w:t>
      </w:r>
    </w:p>
    <w:p>
      <w:pPr>
        <w:ind w:firstLine="480"/>
      </w:pPr>
      <w:r>
        <w:rPr>
          <w:rFonts w:hint="eastAsia"/>
          <w:lang w:val="en-US" w:eastAsia="zh-CN"/>
        </w:rPr>
        <w:t>7</w:t>
      </w:r>
      <w:r>
        <w:t>.1投标文件未按照招标文件要求签署、盖章；</w:t>
      </w:r>
    </w:p>
    <w:p>
      <w:pPr>
        <w:ind w:firstLine="480"/>
      </w:pPr>
      <w:r>
        <w:rPr>
          <w:rFonts w:hint="eastAsia"/>
          <w:lang w:val="en-US" w:eastAsia="zh-CN"/>
        </w:rPr>
        <w:t>7</w:t>
      </w:r>
      <w:r>
        <w:t>.2不符合招标文件中规定的资格要求；</w:t>
      </w:r>
    </w:p>
    <w:p>
      <w:pPr>
        <w:ind w:firstLine="480"/>
      </w:pPr>
      <w:r>
        <w:rPr>
          <w:rFonts w:hint="eastAsia"/>
          <w:lang w:val="en-US" w:eastAsia="zh-CN"/>
        </w:rPr>
        <w:t>7</w:t>
      </w:r>
      <w:r>
        <w:t>.3投标报价超过招标文件中规定的预算金额或最高限价；</w:t>
      </w:r>
    </w:p>
    <w:p>
      <w:pPr>
        <w:ind w:firstLine="480"/>
      </w:pPr>
      <w:r>
        <w:rPr>
          <w:rFonts w:hint="eastAsia"/>
          <w:lang w:val="en-US" w:eastAsia="zh-CN"/>
        </w:rPr>
        <w:t>7</w:t>
      </w:r>
      <w:r>
        <w:t>.4投标文件含有采购人不能接受的附加条件；</w:t>
      </w:r>
    </w:p>
    <w:p>
      <w:pPr>
        <w:ind w:firstLine="480"/>
      </w:pPr>
      <w:r>
        <w:rPr>
          <w:rFonts w:hint="eastAsia"/>
          <w:lang w:val="en-US" w:eastAsia="zh-CN"/>
        </w:rPr>
        <w:t>7</w:t>
      </w:r>
      <w:r>
        <w:t>.5有关法律、法规和规章及招标文件规定的其他无效情形。</w:t>
      </w:r>
    </w:p>
    <w:p>
      <w:r>
        <w:rPr>
          <w:rFonts w:hint="eastAsia"/>
          <w:b/>
          <w:sz w:val="28"/>
          <w:lang w:val="en-US" w:eastAsia="zh-CN"/>
        </w:rPr>
        <w:t>五</w:t>
      </w:r>
      <w:r>
        <w:rPr>
          <w:b/>
          <w:sz w:val="28"/>
        </w:rPr>
        <w:t>、开标、评标和定标</w:t>
      </w:r>
    </w:p>
    <w:p>
      <w:r>
        <w:rPr>
          <w:b/>
          <w:sz w:val="24"/>
        </w:rPr>
        <w:t>1.开标</w:t>
      </w:r>
    </w:p>
    <w:p>
      <w:pPr>
        <w:ind w:firstLine="480"/>
      </w:pPr>
      <w:r>
        <w:t>1.1 开标程序</w:t>
      </w:r>
    </w:p>
    <w:p>
      <w:pPr>
        <w:ind w:firstLine="480"/>
      </w:pPr>
      <w:r>
        <w:rPr>
          <w:rFonts w:hint="eastAsia"/>
          <w:lang w:val="en-US" w:eastAsia="zh-CN"/>
        </w:rPr>
        <w:t>采购人</w:t>
      </w:r>
      <w:r>
        <w:t>按招标公告规定的时间进行开标，由采购人宣布投标人名称、解密情况，投标价格和招标文件规定的需要宣布的其他内容（以开标一览表要求为准）。</w:t>
      </w:r>
    </w:p>
    <w:p>
      <w:pPr>
        <w:ind w:firstLine="480"/>
      </w:pPr>
      <w:r>
        <w:t>1.</w:t>
      </w:r>
      <w:r>
        <w:rPr>
          <w:rFonts w:hint="eastAsia"/>
          <w:lang w:val="en-US" w:eastAsia="zh-CN"/>
        </w:rPr>
        <w:t>2</w:t>
      </w:r>
      <w:r>
        <w:t>投标截止时间后，投标人不足须知前附表中约定的有效供应商家数的，不得开标。同时，本次采购活动结束。</w:t>
      </w:r>
    </w:p>
    <w:p>
      <w:r>
        <w:rPr>
          <w:b/>
          <w:sz w:val="24"/>
        </w:rPr>
        <w:t>2.评审（详见第四章）</w:t>
      </w:r>
    </w:p>
    <w:p>
      <w:r>
        <w:rPr>
          <w:rFonts w:hint="eastAsia"/>
          <w:b/>
          <w:sz w:val="28"/>
          <w:lang w:val="en-US" w:eastAsia="zh-CN"/>
        </w:rPr>
        <w:t>六</w:t>
      </w:r>
      <w:r>
        <w:rPr>
          <w:b/>
          <w:sz w:val="28"/>
        </w:rPr>
        <w:t>、合同签订和履行</w:t>
      </w:r>
    </w:p>
    <w:p>
      <w:r>
        <w:rPr>
          <w:b/>
          <w:sz w:val="24"/>
        </w:rPr>
        <w:t>1.合同签订</w:t>
      </w:r>
    </w:p>
    <w:p>
      <w:pPr>
        <w:ind w:firstLine="480"/>
      </w:pPr>
      <w:r>
        <w:t>1.1采购人应按照招标文件和中标供应商投标文件的约定，与中标供应商签订合同。所签订的合同不得对招标文件和中标供应商投标文件作实质性修改。</w:t>
      </w:r>
    </w:p>
    <w:p>
      <w:pPr>
        <w:ind w:firstLine="480"/>
      </w:pPr>
      <w:r>
        <w:t>1.2采购人不得提出试用合格等任何不合理的要求作为签订合同的条件，且不得与中标供应商私下订立背离合同实质性内容的协议。</w:t>
      </w:r>
    </w:p>
    <w:p>
      <w:r>
        <w:rPr>
          <w:b/>
          <w:sz w:val="24"/>
        </w:rPr>
        <w:t>2.合同的履行</w:t>
      </w:r>
    </w:p>
    <w:p>
      <w:pPr>
        <w:ind w:firstLine="480"/>
      </w:pPr>
      <w:r>
        <w:t>采购合同订立后，合同各方不得擅自变更、中止或者终止合同。采购合同需要变更的，采购人应将有关合同变更内容，以书面形式报</w:t>
      </w:r>
      <w:r>
        <w:rPr>
          <w:rFonts w:hint="eastAsia"/>
          <w:lang w:val="en-US" w:eastAsia="zh-CN"/>
        </w:rPr>
        <w:t>采购人</w:t>
      </w:r>
      <w:r>
        <w:t>；因特殊情况需要中止或终止合同的，采购人应将中止或终止合同的理由以及相应措施。</w:t>
      </w:r>
    </w:p>
    <w:p>
      <w:pPr>
        <w:rPr>
          <w:rFonts w:hint="eastAsia" w:eastAsiaTheme="minorEastAsia"/>
          <w:lang w:eastAsia="zh-CN"/>
        </w:rPr>
      </w:pPr>
    </w:p>
    <w:p>
      <w:pPr>
        <w:jc w:val="center"/>
      </w:pPr>
      <w:r>
        <w:rPr>
          <w:b/>
          <w:sz w:val="36"/>
        </w:rPr>
        <w:t>第四章 评标</w:t>
      </w:r>
    </w:p>
    <w:p>
      <w:r>
        <w:rPr>
          <w:b/>
          <w:sz w:val="28"/>
        </w:rPr>
        <w:t>一、评标要求</w:t>
      </w:r>
    </w:p>
    <w:p>
      <w:r>
        <w:rPr>
          <w:b/>
          <w:sz w:val="24"/>
        </w:rPr>
        <w:t>1.评标方法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采购包1(在编干部职工</w:t>
      </w:r>
      <w:r>
        <w:rPr>
          <w:rFonts w:hint="eastAsia"/>
          <w:lang w:val="en-US" w:eastAsia="zh-CN"/>
        </w:rPr>
        <w:t>及合同人员</w:t>
      </w:r>
      <w:r>
        <w:t>休养体检服务)：综合评分法,是指投标文件满足招标文件全部实质性要求，且按照评审因素的量化指标评审得分最高的投标人为中标候选人的评标方法。（最低报价不是中标的唯一依据。）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采购包2(</w:t>
      </w:r>
      <w:r>
        <w:rPr>
          <w:rFonts w:hint="eastAsia"/>
        </w:rPr>
        <w:t>在编干部职工、合同人员及退休人员体检服务</w:t>
      </w:r>
      <w:r>
        <w:t>)：综合评分法,是指投标文件满足招标文件全部实质性要求，且按照评审因素的量化指标评审得分最高的投标人为中标候选人的评标方法。（最低报价不是中标的唯一依据。）</w:t>
      </w:r>
    </w:p>
    <w:p>
      <w:r>
        <w:rPr>
          <w:b/>
          <w:sz w:val="24"/>
        </w:rPr>
        <w:t>2.评标原则</w:t>
      </w:r>
    </w:p>
    <w:p>
      <w:pPr>
        <w:ind w:firstLine="480"/>
      </w:pPr>
      <w:r>
        <w:t>2.1评标活动遵循公平、公正、科学和择优的原则，以招标文件和投标文件为评标的基本依据，并按照招标文件规定的评标方法和评标标准进行评标。</w:t>
      </w:r>
    </w:p>
    <w:p>
      <w:pPr>
        <w:ind w:firstLine="480"/>
      </w:pPr>
      <w:r>
        <w:t>2.2具体评标事项由评标委员会负责，并按</w:t>
      </w:r>
      <w:r>
        <w:rPr>
          <w:rFonts w:hint="eastAsia"/>
          <w:lang w:val="en-US" w:eastAsia="zh-CN"/>
        </w:rPr>
        <w:t>采购人采购制度</w:t>
      </w:r>
      <w:r>
        <w:t>的规定办法进行评审。</w:t>
      </w:r>
    </w:p>
    <w:p>
      <w:pPr>
        <w:ind w:firstLine="480"/>
      </w:pPr>
      <w:r>
        <w:t>2.3合格投标人不足须知前附表中约定的有效供应商家数的，不得评标。</w:t>
      </w:r>
    </w:p>
    <w:p>
      <w:r>
        <w:rPr>
          <w:b/>
          <w:sz w:val="24"/>
        </w:rPr>
        <w:t>3.评标委员会</w:t>
      </w:r>
    </w:p>
    <w:p>
      <w:pPr>
        <w:ind w:firstLine="480"/>
      </w:pPr>
      <w:r>
        <w:t>3.1评标委员会由采购人代表组成，成员人数应当为5人及以上单数。</w:t>
      </w:r>
    </w:p>
    <w:p>
      <w:pPr>
        <w:ind w:firstLine="480"/>
      </w:pPr>
      <w:r>
        <w:t>3.2评标应遵守下列评标纪律：</w:t>
      </w:r>
    </w:p>
    <w:p>
      <w:pPr>
        <w:ind w:firstLine="480"/>
      </w:pPr>
      <w:r>
        <w:t>（1）评标情况不得私自外泄。</w:t>
      </w:r>
    </w:p>
    <w:p>
      <w:pPr>
        <w:ind w:firstLine="480"/>
      </w:pPr>
      <w:r>
        <w:t>（2）不得收受投标供应商或有关人员的任何礼物，不得串联鼓动其他人袒护某投标人。若与投标人存在利害关系，则应主动声明并回避。</w:t>
      </w:r>
    </w:p>
    <w:p>
      <w:pPr>
        <w:ind w:firstLine="480"/>
      </w:pPr>
      <w:r>
        <w:t>（</w:t>
      </w:r>
      <w:r>
        <w:rPr>
          <w:rFonts w:hint="eastAsia"/>
          <w:lang w:val="en-US" w:eastAsia="zh-CN"/>
        </w:rPr>
        <w:t>3</w:t>
      </w:r>
      <w:r>
        <w:t>）全体评委应按照招标文件规定进行评标，一切认定事项应查有实据且不得弄虚作假。</w:t>
      </w:r>
    </w:p>
    <w:p>
      <w:pPr>
        <w:ind w:firstLine="480"/>
      </w:pPr>
      <w:r>
        <w:t>（</w:t>
      </w:r>
      <w:r>
        <w:rPr>
          <w:rFonts w:hint="eastAsia"/>
          <w:lang w:val="en-US" w:eastAsia="zh-CN"/>
        </w:rPr>
        <w:t>4</w:t>
      </w:r>
      <w:r>
        <w:t>）评标委员会各成员应当独立对每个投标人的投标文件进行评价，并对评价意见承担个人责任。评审过程中，不得发表倾向性言论。</w:t>
      </w:r>
    </w:p>
    <w:p>
      <w:pPr>
        <w:ind w:firstLine="480"/>
      </w:pPr>
      <w: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t>4.1不同投标人的投标文件由同一单位或者个人编制；</w:t>
      </w:r>
    </w:p>
    <w:p>
      <w:pPr>
        <w:ind w:firstLine="480"/>
      </w:pPr>
      <w:r>
        <w:t>4.2不同投标人委托同一单位或者个人办理投标事宜；</w:t>
      </w:r>
    </w:p>
    <w:p>
      <w:pPr>
        <w:ind w:firstLine="480"/>
      </w:pPr>
      <w:r>
        <w:t>4.3不同投标人的投标文件载明的项目管理成员或者联系人员为同一人；</w:t>
      </w:r>
    </w:p>
    <w:p>
      <w:pPr>
        <w:ind w:firstLine="480"/>
      </w:pPr>
      <w:r>
        <w:t>4.4不同投标人的投标文件异常一致或者投标报价呈规律性差异；</w:t>
      </w:r>
    </w:p>
    <w:p>
      <w:pPr>
        <w:ind w:firstLine="480"/>
      </w:pPr>
      <w:r>
        <w:t>4.5不同投标人的投标文件相互混装；</w:t>
      </w:r>
    </w:p>
    <w:p>
      <w:pPr>
        <w:ind w:firstLine="480"/>
      </w:pPr>
      <w:r>
        <w:t>4.6不同投标人的投标保证金或购买电子保函支付款为从同一单位或个人的账户转出；</w:t>
      </w:r>
    </w:p>
    <w:p>
      <w:pPr>
        <w:ind w:firstLine="480"/>
      </w:pPr>
      <w: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t>详见资格性审查、符合性审查和招标文件其他投标无效条款。</w:t>
      </w:r>
    </w:p>
    <w:p>
      <w:r>
        <w:rPr>
          <w:b/>
          <w:sz w:val="24"/>
        </w:rPr>
        <w:t>6.定标</w:t>
      </w:r>
    </w:p>
    <w:p>
      <w:pPr>
        <w:ind w:firstLine="480"/>
        <w:rPr>
          <w:rFonts w:hint="eastAsia" w:eastAsiaTheme="minorEastAsia"/>
          <w:lang w:eastAsia="zh-CN"/>
        </w:rPr>
      </w:pPr>
      <w:r>
        <w:t>评标委员会按照招标文件确定的评标方法、步骤、标准，对投标文件进行评审。评标结束后，对投标人的评审名次进行排序，确定中标供应商或者推荐中标候选人</w:t>
      </w:r>
      <w:r>
        <w:rPr>
          <w:rFonts w:hint="eastAsia"/>
          <w:lang w:eastAsia="zh-CN"/>
        </w:rPr>
        <w:t>。</w:t>
      </w:r>
    </w:p>
    <w:p>
      <w:r>
        <w:rPr>
          <w:b/>
          <w:sz w:val="24"/>
        </w:rPr>
        <w:t>7.价格修正</w:t>
      </w:r>
    </w:p>
    <w:p>
      <w:pPr>
        <w:ind w:firstLine="480"/>
      </w:pPr>
      <w:r>
        <w:t>对报价的计算错误按以下原则修正：</w:t>
      </w:r>
    </w:p>
    <w:p>
      <w:pPr>
        <w:ind w:firstLine="480"/>
      </w:pPr>
      <w:r>
        <w:t>（1）投标文件中开标一览表内容与投标文件中相应内容不一致的，以开标一览表为准；</w:t>
      </w:r>
    </w:p>
    <w:p>
      <w:pPr>
        <w:ind w:firstLine="480"/>
      </w:pPr>
      <w:r>
        <w:t>（2）大写金额和小写金额不一致的，以大写金额为准；</w:t>
      </w:r>
    </w:p>
    <w:p>
      <w:pPr>
        <w:ind w:firstLine="480"/>
      </w:pPr>
      <w:r>
        <w:t>（3）单价金额小数点或者百分比有明显错位的，以开标一览表的总价为准，并修改单价。</w:t>
      </w:r>
    </w:p>
    <w:p>
      <w:pPr>
        <w:ind w:firstLine="480"/>
      </w:pPr>
      <w:r>
        <w:t>（4）总价金额与按单价汇总金额不一致的，以单价金额计算结果为准。但是单价金额计算结果超过预算价的，对其按无效投标处理。</w:t>
      </w:r>
    </w:p>
    <w:p>
      <w:pPr>
        <w:ind w:firstLine="480"/>
      </w:pPr>
      <w: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rFonts w:hint="eastAsia"/>
          <w:b/>
          <w:sz w:val="28"/>
          <w:lang w:val="en-US" w:eastAsia="zh-CN"/>
        </w:rPr>
        <w:t>二</w:t>
      </w:r>
      <w:r>
        <w:rPr>
          <w:b/>
          <w:sz w:val="28"/>
        </w:rPr>
        <w:t>、评审程序</w:t>
      </w:r>
    </w:p>
    <w:p>
      <w:r>
        <w:rPr>
          <w:b/>
          <w:sz w:val="24"/>
        </w:rPr>
        <w:t>1.资格性审查和符合性审查</w:t>
      </w:r>
    </w:p>
    <w:p>
      <w:pPr>
        <w:ind w:firstLine="480"/>
      </w:pPr>
      <w:r>
        <w:t>资格性审查。采购项目开标结束后，采购人应当依法对投标人的资格进行审查，以确定投标人是否具备投标资格。</w:t>
      </w:r>
    </w:p>
    <w:p>
      <w:pPr>
        <w:ind w:firstLine="480"/>
      </w:pPr>
      <w:r>
        <w:t>符合性审查。评标委员会依据招标文件的规定，从投标文件的有效性、完整性和对招标文件的响应程度进行审查，以确定是否对招标文件的实质性要求作出响应。</w:t>
      </w:r>
    </w:p>
    <w:p>
      <w:pPr>
        <w:ind w:firstLine="480"/>
      </w:pPr>
      <w:r>
        <w:t>资格性审查和符合性审查中凡有其中任意一项未通过的，评审结果为未通过，未通过资格性审查、符合性审查的投标人按无效投标处理。</w:t>
      </w:r>
    </w:p>
    <w:p>
      <w:pPr>
        <w:ind w:firstLine="480"/>
      </w:pPr>
      <w:r>
        <w:t>对各投标人进行资格审查和符合性审查过程中，对初步被认定为无效投标者，由评标委员会组长将集体意见及时告知投标当事人。</w:t>
      </w:r>
      <w:r>
        <w:rPr>
          <w:rFonts w:hint="eastAsia"/>
          <w:lang w:val="en-US" w:eastAsia="zh-CN"/>
        </w:rPr>
        <w:t>采购人</w:t>
      </w:r>
      <w:r>
        <w:t>应在评标报告中以书面形式解释其排除的具体原因</w:t>
      </w:r>
    </w:p>
    <w:p>
      <w:pPr>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t>合格投标人不足3家的，不得评标。</w:t>
      </w:r>
    </w:p>
    <w:p>
      <w:pPr>
        <w:ind w:firstLine="480"/>
      </w:pPr>
      <w:r>
        <w:t>表一资格性审查表：</w:t>
      </w:r>
    </w:p>
    <w:p>
      <w:r>
        <w:t>采购包1（</w:t>
      </w:r>
      <w:r>
        <w:rPr>
          <w:rFonts w:hint="eastAsia"/>
        </w:rPr>
        <w:t>在编干部职工及合同人员休养体检服务</w:t>
      </w:r>
      <w: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r>
              <w:t>序号</w:t>
            </w:r>
          </w:p>
        </w:tc>
        <w:tc>
          <w:tcPr>
            <w:tcW w:w="7416" w:type="dxa"/>
            <w:gridSpan w:val="2"/>
          </w:tcPr>
          <w:p>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具有独立承担民事责任的能力</w:t>
            </w:r>
          </w:p>
        </w:tc>
        <w:tc>
          <w:tcPr>
            <w:tcW w:w="4238" w:type="dxa"/>
          </w:tcPr>
          <w:p>
            <w:r>
              <w:t>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有依法缴纳税收和社会保障资金的良好记录</w:t>
            </w:r>
          </w:p>
        </w:tc>
        <w:tc>
          <w:tcPr>
            <w:tcW w:w="4238" w:type="dxa"/>
          </w:tcPr>
          <w:p>
            <w:r>
              <w:t>提供声明函，格式自拟。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具有良好的商业信誉和健全的财务会计制度</w:t>
            </w:r>
          </w:p>
        </w:tc>
        <w:tc>
          <w:tcPr>
            <w:tcW w:w="4238" w:type="dxa"/>
          </w:tcPr>
          <w:p>
            <w:r>
              <w:t>提供声明函，格式自拟。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履行合同所必需的设备和专业技术能力</w:t>
            </w:r>
          </w:p>
        </w:tc>
        <w:tc>
          <w:tcPr>
            <w:tcW w:w="4238" w:type="dxa"/>
          </w:tcPr>
          <w:p>
            <w:r>
              <w:t>提供声明函或按投标文件格式填报设备及专业技术能力情况。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参加采购活动前3年内，在经营活动中没有重大违法记录</w:t>
            </w:r>
          </w:p>
        </w:tc>
        <w:tc>
          <w:tcPr>
            <w:tcW w:w="4238" w:type="dxa"/>
          </w:tcPr>
          <w:p>
            <w:r>
              <w:t>在经营活动中没有重大违法记录：参照投标函相关承诺格式内容。【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信用记录</w:t>
            </w:r>
          </w:p>
        </w:tc>
        <w:tc>
          <w:tcPr>
            <w:tcW w:w="4238" w:type="dxa"/>
          </w:tcPr>
          <w:p>
            <w: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7</w:t>
            </w:r>
          </w:p>
        </w:tc>
        <w:tc>
          <w:tcPr>
            <w:tcW w:w="3178" w:type="dxa"/>
          </w:tcPr>
          <w:p>
            <w:r>
              <w:t>供应商必须符合法律、行政法规规定的其他条件</w:t>
            </w:r>
          </w:p>
        </w:tc>
        <w:tc>
          <w:tcPr>
            <w:tcW w:w="4238" w:type="dxa"/>
          </w:tcPr>
          <w:p>
            <w:r>
              <w:t>单位负责人为同一人或者存在直接控股、管理关系的不同供应商，不得同时参加本采购项目（或采购包）投标。为本项目提供整体设计、规范编制或者项目管理、监理、检测等服务的供应商，不得再参与本项目投标。（投标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8</w:t>
            </w:r>
          </w:p>
        </w:tc>
        <w:tc>
          <w:tcPr>
            <w:tcW w:w="3178" w:type="dxa"/>
          </w:tcPr>
          <w:p>
            <w:r>
              <w:t>本项目的特定资格要求</w:t>
            </w:r>
          </w:p>
        </w:tc>
        <w:tc>
          <w:tcPr>
            <w:tcW w:w="4238" w:type="dxa"/>
          </w:tcPr>
          <w:p>
            <w:r>
              <w:t>供应商应具有卫生行政主管部门颁发的《医疗机构执业许可证》；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9</w:t>
            </w:r>
          </w:p>
        </w:tc>
        <w:tc>
          <w:tcPr>
            <w:tcW w:w="3178" w:type="dxa"/>
          </w:tcPr>
          <w:p>
            <w:r>
              <w:t>本项目的特定资格要求</w:t>
            </w:r>
          </w:p>
        </w:tc>
        <w:tc>
          <w:tcPr>
            <w:tcW w:w="4238" w:type="dxa"/>
          </w:tcPr>
          <w:p>
            <w:r>
              <w:t>要求供应商为非营利性医疗机构；（提供声明函）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10</w:t>
            </w:r>
          </w:p>
        </w:tc>
        <w:tc>
          <w:tcPr>
            <w:tcW w:w="3178" w:type="dxa"/>
          </w:tcPr>
          <w:p>
            <w:r>
              <w:t>本项目的特定资格要求</w:t>
            </w:r>
          </w:p>
        </w:tc>
        <w:tc>
          <w:tcPr>
            <w:tcW w:w="4238" w:type="dxa"/>
          </w:tcPr>
          <w:p>
            <w:r>
              <w:t>本项目不接受联合体投标。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11</w:t>
            </w:r>
          </w:p>
        </w:tc>
        <w:tc>
          <w:tcPr>
            <w:tcW w:w="3178" w:type="dxa"/>
          </w:tcPr>
          <w:p>
            <w:r>
              <w:t>落实政府采购政策需满足的资格要求</w:t>
            </w:r>
          </w:p>
        </w:tc>
        <w:tc>
          <w:tcPr>
            <w:tcW w:w="4238" w:type="dxa"/>
          </w:tcPr>
          <w:p>
            <w:r>
              <w:t>本采购包不属于专门面向中小企业采购的项目。</w:t>
            </w:r>
          </w:p>
        </w:tc>
      </w:tr>
    </w:tbl>
    <w:p/>
    <w:p>
      <w:r>
        <w:t>采购包2（</w:t>
      </w:r>
      <w:r>
        <w:rPr>
          <w:rFonts w:hint="eastAsia"/>
        </w:rPr>
        <w:t>在编干部职工、合同人员及退休人员体检服务</w:t>
      </w:r>
      <w: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7416" w:type="dxa"/>
            <w:gridSpan w:val="2"/>
          </w:tcPr>
          <w:p>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具有独立承担民事责任的能力</w:t>
            </w:r>
          </w:p>
        </w:tc>
        <w:tc>
          <w:tcPr>
            <w:tcW w:w="4238" w:type="dxa"/>
          </w:tcPr>
          <w:p>
            <w:r>
              <w:t>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有依法缴纳税收和社会保障资金的良好记录</w:t>
            </w:r>
          </w:p>
        </w:tc>
        <w:tc>
          <w:tcPr>
            <w:tcW w:w="4238" w:type="dxa"/>
          </w:tcPr>
          <w:p>
            <w:r>
              <w:t>提供声明函，格式自拟。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具有良好的商业信誉和健全的财务会计制度</w:t>
            </w:r>
          </w:p>
        </w:tc>
        <w:tc>
          <w:tcPr>
            <w:tcW w:w="4238" w:type="dxa"/>
          </w:tcPr>
          <w:p>
            <w:r>
              <w:t>提供声明函，格式自拟。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履行合同所必需的设备和专业技术能力</w:t>
            </w:r>
          </w:p>
        </w:tc>
        <w:tc>
          <w:tcPr>
            <w:tcW w:w="4238" w:type="dxa"/>
          </w:tcPr>
          <w:p>
            <w:r>
              <w:t>提供声明函或按投标文件格式填报设备及专业技术能力情况。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参加采购活动前3年内，在经营活动中没有重大违法记录</w:t>
            </w:r>
          </w:p>
        </w:tc>
        <w:tc>
          <w:tcPr>
            <w:tcW w:w="4238" w:type="dxa"/>
          </w:tcPr>
          <w:p>
            <w:r>
              <w:t>在经营活动中没有重大违法记录：参照投标函相关承诺格式内容。【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信用记录</w:t>
            </w:r>
          </w:p>
        </w:tc>
        <w:tc>
          <w:tcPr>
            <w:tcW w:w="4238" w:type="dxa"/>
          </w:tcPr>
          <w:p>
            <w: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7</w:t>
            </w:r>
          </w:p>
        </w:tc>
        <w:tc>
          <w:tcPr>
            <w:tcW w:w="3178" w:type="dxa"/>
          </w:tcPr>
          <w:p>
            <w:r>
              <w:t>供应商必须符合法律、行政法规规定的其他条件</w:t>
            </w:r>
          </w:p>
        </w:tc>
        <w:tc>
          <w:tcPr>
            <w:tcW w:w="4238" w:type="dxa"/>
          </w:tcPr>
          <w:p>
            <w:r>
              <w:t>单位负责人为同一人或者存在直接控股、管理关系的不同供应商，不得同时参加本采购项目（或采购包）投标。为本项目提供整体设计、规范编制或者项目管理、监理、检测等服务的供应商，不得再参与本项目投标。（投标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8</w:t>
            </w:r>
          </w:p>
        </w:tc>
        <w:tc>
          <w:tcPr>
            <w:tcW w:w="3178" w:type="dxa"/>
          </w:tcPr>
          <w:p>
            <w:r>
              <w:t>本项目的特定资格要求</w:t>
            </w:r>
          </w:p>
        </w:tc>
        <w:tc>
          <w:tcPr>
            <w:tcW w:w="4238" w:type="dxa"/>
          </w:tcPr>
          <w:p>
            <w:r>
              <w:t>供应商应具有卫生行政主管部门颁发的《医疗机构执业许可证》；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9</w:t>
            </w:r>
          </w:p>
        </w:tc>
        <w:tc>
          <w:tcPr>
            <w:tcW w:w="3178" w:type="dxa"/>
          </w:tcPr>
          <w:p>
            <w:r>
              <w:t>本项目的特定资格要求</w:t>
            </w:r>
          </w:p>
        </w:tc>
        <w:tc>
          <w:tcPr>
            <w:tcW w:w="4238" w:type="dxa"/>
          </w:tcPr>
          <w:p>
            <w:r>
              <w:t>本项目不接受联合体投标。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10</w:t>
            </w:r>
          </w:p>
        </w:tc>
        <w:tc>
          <w:tcPr>
            <w:tcW w:w="3178" w:type="dxa"/>
          </w:tcPr>
          <w:p>
            <w:r>
              <w:t>落实政府采购政策需满足的资格要求</w:t>
            </w:r>
          </w:p>
        </w:tc>
        <w:tc>
          <w:tcPr>
            <w:tcW w:w="4238" w:type="dxa"/>
          </w:tcPr>
          <w:p>
            <w:r>
              <w:t>本采购包不属于专门面向中小企业采购的项目。</w:t>
            </w:r>
          </w:p>
        </w:tc>
      </w:tr>
    </w:tbl>
    <w:p/>
    <w:p>
      <w:pPr>
        <w:ind w:firstLine="480"/>
      </w:pPr>
      <w:r>
        <w:t>表二符合性审查表：</w:t>
      </w:r>
    </w:p>
    <w:p>
      <w:r>
        <w:t>采购包1（</w:t>
      </w:r>
      <w:r>
        <w:rPr>
          <w:rFonts w:hint="eastAsia"/>
        </w:rPr>
        <w:t>在编干部职工及合同人员休养体检服务</w:t>
      </w:r>
      <w: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3178" w:type="dxa"/>
          </w:tcPr>
          <w:p>
            <w:r>
              <w:t>评审点要求概况</w:t>
            </w:r>
          </w:p>
        </w:tc>
        <w:tc>
          <w:tcPr>
            <w:tcW w:w="4238"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投标（报价）总金额是固定价且是唯一，未超过本项目采购预算（最高限价）</w:t>
            </w:r>
          </w:p>
        </w:tc>
        <w:tc>
          <w:tcPr>
            <w:tcW w:w="4238" w:type="dxa"/>
          </w:tcPr>
          <w:p>
            <w:r>
              <w:t>投标（报价）总金额是固定价且是唯一的，未超过本项目采购预算（最高限价）。如果评标委员会认为投标人的报价明显低于其他通过符合性审查投标人的报价，有可能影响项目质量或者不能诚信履约的，将要求其在评标现场合理的时间内提供书面说明，必要时提交相关证明材料；投标人应能作出合理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投标函</w:t>
            </w:r>
          </w:p>
        </w:tc>
        <w:tc>
          <w:tcPr>
            <w:tcW w:w="4238" w:type="dxa"/>
          </w:tcPr>
          <w:p>
            <w:r>
              <w:t>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投标有效期</w:t>
            </w:r>
          </w:p>
        </w:tc>
        <w:tc>
          <w:tcPr>
            <w:tcW w:w="4238" w:type="dxa"/>
          </w:tcPr>
          <w:p>
            <w:r>
              <w:t>投标有效期为</w:t>
            </w:r>
            <w:r>
              <w:rPr>
                <w:highlight w:val="none"/>
              </w:rPr>
              <w:t>投标截止日起不少于90天。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授权文件</w:t>
            </w:r>
          </w:p>
        </w:tc>
        <w:tc>
          <w:tcPr>
            <w:tcW w:w="4238" w:type="dxa"/>
          </w:tcPr>
          <w:p>
            <w:r>
              <w:t>提供法定代表人（负责人）证明书、法定代表人（负责人）授权委托书（投标文件签字代表非法定代表人的情况下须提供）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签署、盖章</w:t>
            </w:r>
          </w:p>
        </w:tc>
        <w:tc>
          <w:tcPr>
            <w:tcW w:w="4238" w:type="dxa"/>
          </w:tcPr>
          <w:p>
            <w:r>
              <w:t>投标文件完整且编排有序，投标内容基本完整，无重大错漏，并按要求签署、盖章。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“★”号条款</w:t>
            </w:r>
          </w:p>
        </w:tc>
        <w:tc>
          <w:tcPr>
            <w:tcW w:w="4238" w:type="dxa"/>
          </w:tcPr>
          <w:p>
            <w:r>
              <w:t>投标文件对招标文件中“★”号条款不产生偏离（投标文件中技术参数、功能或其他内容优于招标要求部分不视作偏离）。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7</w:t>
            </w:r>
          </w:p>
        </w:tc>
        <w:tc>
          <w:tcPr>
            <w:tcW w:w="3178" w:type="dxa"/>
          </w:tcPr>
          <w:p>
            <w:r>
              <w:t>附加条件</w:t>
            </w:r>
          </w:p>
        </w:tc>
        <w:tc>
          <w:tcPr>
            <w:tcW w:w="4238" w:type="dxa"/>
          </w:tcPr>
          <w:p>
            <w:r>
              <w:t>投标文件未含有采购人不可接受的附加条件。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8</w:t>
            </w:r>
          </w:p>
        </w:tc>
        <w:tc>
          <w:tcPr>
            <w:tcW w:w="3178" w:type="dxa"/>
          </w:tcPr>
          <w:p>
            <w:r>
              <w:t>其他无效情形</w:t>
            </w:r>
          </w:p>
        </w:tc>
        <w:tc>
          <w:tcPr>
            <w:tcW w:w="4238" w:type="dxa"/>
          </w:tcPr>
          <w:p>
            <w:r>
              <w:t>未出现法律、法规和项目采购文件规定的其他无效投标的情形。</w:t>
            </w:r>
          </w:p>
        </w:tc>
      </w:tr>
    </w:tbl>
    <w:p/>
    <w:p>
      <w:r>
        <w:t>采购包2（</w:t>
      </w:r>
      <w:r>
        <w:rPr>
          <w:rFonts w:hint="eastAsia"/>
        </w:rPr>
        <w:t>在编干部职工、合同人员及退休人员体检服务</w:t>
      </w:r>
      <w: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r>
              <w:t>序号</w:t>
            </w:r>
          </w:p>
        </w:tc>
        <w:tc>
          <w:tcPr>
            <w:tcW w:w="3178" w:type="dxa"/>
          </w:tcPr>
          <w:p>
            <w:r>
              <w:t>评审点要求概况</w:t>
            </w:r>
          </w:p>
        </w:tc>
        <w:tc>
          <w:tcPr>
            <w:tcW w:w="4238"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投标（报价）总金额是固定价且是唯一，未超过本项目采购预算（最高限价）</w:t>
            </w:r>
          </w:p>
        </w:tc>
        <w:tc>
          <w:tcPr>
            <w:tcW w:w="4238" w:type="dxa"/>
          </w:tcPr>
          <w:p>
            <w:r>
              <w:t>投标（报价）总金额是固定价且是唯一的，未超过本项目采购预算（最高限价）。如果评标委员会认为投标人的报价明显低于其他通过符合性审查投标人的报价，有可能影响项目质量或者不能诚信履约的，将要求其在评标现场合理的时间内提供书面说明，必要时提交相关证明材料；投标人应能作出合理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投标函</w:t>
            </w:r>
          </w:p>
        </w:tc>
        <w:tc>
          <w:tcPr>
            <w:tcW w:w="4238" w:type="dxa"/>
          </w:tcPr>
          <w:p>
            <w:r>
              <w:t>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投标有效期</w:t>
            </w:r>
          </w:p>
        </w:tc>
        <w:tc>
          <w:tcPr>
            <w:tcW w:w="4238" w:type="dxa"/>
          </w:tcPr>
          <w:p>
            <w:r>
              <w:t>投标有效期为</w:t>
            </w:r>
            <w:r>
              <w:rPr>
                <w:highlight w:val="none"/>
              </w:rPr>
              <w:t>投标截止日起不少于90天。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授权文件</w:t>
            </w:r>
          </w:p>
        </w:tc>
        <w:tc>
          <w:tcPr>
            <w:tcW w:w="4238" w:type="dxa"/>
          </w:tcPr>
          <w:p>
            <w:r>
              <w:t>提供法定代表人（负责人）证明书、法定代表人（负责人）授权委托书（投标文件签字代表非法定代表人的情况下须提供）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签署、盖章</w:t>
            </w:r>
          </w:p>
        </w:tc>
        <w:tc>
          <w:tcPr>
            <w:tcW w:w="4238" w:type="dxa"/>
          </w:tcPr>
          <w:p>
            <w:r>
              <w:t>投标文件完整且编排有序，投标内容基本完整，无重大错漏，并按要求签署、盖章。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“★”号条款</w:t>
            </w:r>
          </w:p>
        </w:tc>
        <w:tc>
          <w:tcPr>
            <w:tcW w:w="4238" w:type="dxa"/>
          </w:tcPr>
          <w:p>
            <w:r>
              <w:t>投标文件对招标文件中“★”号条款不产生偏离（投标文件中技术参数、功能或其他内容优于招标要求部分不视作偏离）。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7</w:t>
            </w:r>
          </w:p>
        </w:tc>
        <w:tc>
          <w:tcPr>
            <w:tcW w:w="3178" w:type="dxa"/>
          </w:tcPr>
          <w:p>
            <w:r>
              <w:t>附加条件</w:t>
            </w:r>
          </w:p>
        </w:tc>
        <w:tc>
          <w:tcPr>
            <w:tcW w:w="4238" w:type="dxa"/>
          </w:tcPr>
          <w:p>
            <w:r>
              <w:t>投标文件未含有采购人不可接受的附加条件。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8</w:t>
            </w:r>
          </w:p>
        </w:tc>
        <w:tc>
          <w:tcPr>
            <w:tcW w:w="3178" w:type="dxa"/>
          </w:tcPr>
          <w:p>
            <w:r>
              <w:t>其他无效情形</w:t>
            </w:r>
          </w:p>
        </w:tc>
        <w:tc>
          <w:tcPr>
            <w:tcW w:w="4238" w:type="dxa"/>
          </w:tcPr>
          <w:p>
            <w:r>
              <w:t>未出现法律、法规和项目采购文件规定的其他无效投标的情形。</w:t>
            </w:r>
          </w:p>
        </w:tc>
      </w:tr>
    </w:tbl>
    <w:p/>
    <w:p>
      <w:r>
        <w:rPr>
          <w:b/>
          <w:sz w:val="24"/>
        </w:rPr>
        <w:t>2.投标文件澄清</w:t>
      </w:r>
    </w:p>
    <w:p>
      <w:pPr>
        <w:ind w:firstLine="480"/>
      </w:pPr>
      <w:r>
        <w:t>2.1对于投标文件中含义不明确、同类问题表述不一致或者有明显文字和计算错误的内容，评标委员会可在评审过程中发起在线澄清，要求投标人针对价格或内容做出必要的澄清、说明或补正。</w:t>
      </w:r>
    </w:p>
    <w:p>
      <w:pPr>
        <w:ind w:firstLine="480"/>
      </w:pPr>
      <w:r>
        <w:t>2.2评标委员会不接受投标人主动提出的澄清、说明或补正。</w:t>
      </w:r>
    </w:p>
    <w:p>
      <w:pPr>
        <w:ind w:firstLine="480"/>
      </w:pPr>
      <w:r>
        <w:t>2.3评标委员会对投标人提交的澄清、说明或补正有疑问的，可以要求投标人进一步澄清、说明或补正。</w:t>
      </w:r>
    </w:p>
    <w:p>
      <w:r>
        <w:rPr>
          <w:b/>
          <w:sz w:val="24"/>
        </w:rPr>
        <w:t>3.详细评审</w:t>
      </w:r>
    </w:p>
    <w:p>
      <w:r>
        <w:t>采购包1(</w:t>
      </w:r>
      <w:r>
        <w:rPr>
          <w:rFonts w:hint="eastAsia"/>
        </w:rPr>
        <w:t>在编干部职工及合同人员休养体检服务</w:t>
      </w:r>
      <w: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商务部分40.0分</w:t>
            </w:r>
          </w:p>
          <w:p>
            <w:r>
              <w:t>技术部分50.0分</w:t>
            </w:r>
          </w:p>
          <w:p>
            <w: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技术部分</w:t>
            </w:r>
          </w:p>
        </w:tc>
        <w:tc>
          <w:tcPr>
            <w:tcW w:w="2307" w:type="dxa"/>
          </w:tcPr>
          <w:p>
            <w:pPr>
              <w:jc w:val="left"/>
            </w:pPr>
            <w:r>
              <w:t>对采购需求书的响应程度 (10.0分)</w:t>
            </w:r>
          </w:p>
        </w:tc>
        <w:tc>
          <w:tcPr>
            <w:tcW w:w="5076" w:type="dxa"/>
          </w:tcPr>
          <w:p>
            <w:pPr>
              <w:jc w:val="left"/>
            </w:pPr>
            <w:r>
              <w:t>完全满足或有优于用户需求的为优，得10分； 有不响应用户需求的，每一条不带▲的一般服务参数不响应的扣1分，每一条带▲的重要服务参数不响应扣2分，扣完为止。 （注：采购需求书中有要求提供相关证明材料的，未提供或未按要求提供证明材料的视为负偏离。）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服务人员情况 (10.0分)</w:t>
            </w:r>
          </w:p>
        </w:tc>
        <w:tc>
          <w:tcPr>
            <w:tcW w:w="5076" w:type="dxa"/>
          </w:tcPr>
          <w:p>
            <w:pPr>
              <w:jc w:val="left"/>
            </w:pPr>
            <w:r>
              <w:t>1.投标人拟投入本项目的体检服务的人员中，具有15名副主任医师（或以上级别）得3分，每增加5人加1分，最多得5分，其他情况不得分。 2.投标人拟投入本项目的医护人员中，具有50名医护人员的基础得3分，每增加5人加1分，最多得5分；未提供不得分。 注：序号1、2均需提供投标截止日期前三个月（开标当月不计算）投标人为以上人员缴纳社保的证明材料及相关专业技术类证明材料，不提供者不得分。序号1、2人员不累计得分。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设备配备情况 (10.0分)</w:t>
            </w:r>
          </w:p>
        </w:tc>
        <w:tc>
          <w:tcPr>
            <w:tcW w:w="5076" w:type="dxa"/>
          </w:tcPr>
          <w:p>
            <w:pPr>
              <w:jc w:val="left"/>
            </w:pPr>
            <w:r>
              <w:t>投标人拟投入以下设备必须满足最基本的数量要求： （1）12导联心电图检测器：满足4台的基础得0.5分，每增加1台得0.5分，满分得1分； （2）CT机设备：满足2台的基础得2分，每增加1台得1分，满分得3分； （3）彩色B超设备：满足10台的基础上得2分，每增加1台加1分，最高4分。 （4）全自动免疫分析一体机、全自动血细胞分析仪、全自动尿液分析仪，以上设备至少1台（含）以上，得2分，不齐或没有不得分。 未提供不得分。 注：提供上述设备实物照片/图片和购买发票证明；不提供者或提供不全者不得分。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体检服务方案 (10.0分)，（等次分值选择：0.0;1.0;4.0;7.0;10.0;）</w:t>
            </w:r>
          </w:p>
        </w:tc>
        <w:tc>
          <w:tcPr>
            <w:tcW w:w="5076" w:type="dxa"/>
          </w:tcPr>
          <w:p>
            <w:pPr>
              <w:jc w:val="left"/>
            </w:pPr>
            <w:r>
              <w:t>根据投标人提供的体检服务方案（包括但不限于组织管理、运作流程、现场指引、体检安排、检验检测、结果反馈、健康档案管理等具体实施方案）进行综合评审。 1、体检服务方案合理，可操作性强，构思方案齐全，对本项目的理解把握程度和整体思路到位，服务能力强，具有针对性和可行性，具备科学合理性，各阶段服务计划详尽，能贴合项目实际需求，得10分。 2、体检服务方案较合理，可操作性较强，构思方案较全，对本项目的理解把握程度和整体思路较到位，服务能力较强，有一定的针对性和可行性，有一定的科学合理性，各阶段服务计划基本完整，基本能贴合项目实际需求，得7分。 3、体检服务方案基本合理，基本可操作，构思方案一般，对本项目的理解把握程度和整体思路一般，有一定的服务能力，针对性和可行性较低，各阶段服务计划无重大缺漏，部分内容能贴合项目实际需求，得4分。 4、体检服务方案不合理，可操作性差，构思方案缺失，对本项目的理解把握程度和整体思路不到位，服务能力差，不能贴合项目实际需求，得1分。 5、无或其他不得分。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回访工作 (6.0分)</w:t>
            </w:r>
          </w:p>
        </w:tc>
        <w:tc>
          <w:tcPr>
            <w:tcW w:w="5076" w:type="dxa"/>
          </w:tcPr>
          <w:p>
            <w:pPr>
              <w:jc w:val="left"/>
            </w:pPr>
            <w:r>
              <w:t>开展健康管理回访工作，有相应的回访系统，并承诺投入到该项目的，得6分，不提供者不得分。 注：提供承诺函和相关证明材料（有健康管理回访工作系统的图片及资料）。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保密、应急服务措施及配套措施 (4.0分)，（等次分值选择：0.0;1.0;2.0;3.0;4.0;）</w:t>
            </w:r>
          </w:p>
        </w:tc>
        <w:tc>
          <w:tcPr>
            <w:tcW w:w="5076" w:type="dxa"/>
          </w:tcPr>
          <w:p>
            <w:pPr>
              <w:jc w:val="left"/>
            </w:pPr>
            <w:r>
              <w:t>根据投标人对体检人员资料保密方案、应急服务措施（包含但不限于在现场过程中医疗应急事件、设备故障、人员集中、排队等候时间长等可能引发的问题和突发、意外事故等应急预案）、配套服务措施（包含但不限于检后健康指导、针对人员体检结果跟踪服务、体检结果疾病统计、重大疾病就医等配套服务）进行综合评审。 1、对体检人员资料保密方案、应急服务措施、配套服务措施详细具体，具有针对性和可行性，具备科学合理性，能贴合项目实际需求，得4分； 2、对体检人员资料保密方案、应急服务措施、配套服务措施基本完整，有一定的针对性和可行性，有一定的科学合理性，基本能贴合项目实际需求，得3分； 3、对体检人员资料保密方案、应急服务措施、配套服务措施无重大偏差，针对性和可行性较低，各阶段服务计划无重大缺漏，部分内容能贴合项目实际需求，得2分；  4、对体检人员资料保密方案、应急服务措施、配套服务措施缺漏不可行，不能贴合项目实际需求，得1分； 5、未提供得0分。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商务部分</w:t>
            </w:r>
          </w:p>
        </w:tc>
        <w:tc>
          <w:tcPr>
            <w:tcW w:w="2307" w:type="dxa"/>
          </w:tcPr>
          <w:p>
            <w:pPr>
              <w:jc w:val="left"/>
            </w:pPr>
            <w:r>
              <w:t>同类项目经验 (9.0分)</w:t>
            </w:r>
          </w:p>
        </w:tc>
        <w:tc>
          <w:tcPr>
            <w:tcW w:w="5076" w:type="dxa"/>
          </w:tcPr>
          <w:p>
            <w:pPr>
              <w:jc w:val="left"/>
            </w:pPr>
            <w:r>
              <w:t>投标人自2021年1月1日至今（以合同签订时间为准）完成单位团体体检项目业绩（个人业务不予计分）：每提供1份业绩证明得1.5分，最高得9分。无或其他不符合要求的不得分。 注：投标人需提供合同证明（合同必须有用户单位名称、合同项目名称、合同标的主要采购内容、签订合同双方的落款盖章、合同签订日期），不提供或评委无法认定的不得分。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体检场所整体环境 (5.0分)，（等次分值选择：0.0;1.0;3.0;5.0;）</w:t>
            </w:r>
          </w:p>
        </w:tc>
        <w:tc>
          <w:tcPr>
            <w:tcW w:w="5076" w:type="dxa"/>
          </w:tcPr>
          <w:p>
            <w:pPr>
              <w:jc w:val="left"/>
            </w:pPr>
            <w:r>
              <w:t>根据投标人提供的体检场所的整体环境情况进行综合评审。 1、整体环境宽敞、舒适、整洁、优美，有电梯，并且设有体检分流区域的，得5分； 2、整体环境一般，较整洁舒适，但没有体检分流区域的，得3分； 3、整体环境较差，且没有分流区域的，得1分。 4、无或其他不得分。 注：提供体检中心整体环境照片/图片和体检分流区域照片/图片作为证明文件。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体检场所住宿标准及康体配套设施 (8.0分)，（等次分值选择：0.0;2.0;5.0;8.0;）</w:t>
            </w:r>
          </w:p>
        </w:tc>
        <w:tc>
          <w:tcPr>
            <w:tcW w:w="5076" w:type="dxa"/>
          </w:tcPr>
          <w:p>
            <w:pPr>
              <w:jc w:val="left"/>
            </w:pPr>
            <w:r>
              <w:t>根据投标人提供的体检场所住宿标准（包括住宿客房的环境、配置、新旧程度、通风采光、有无窗户阳台等），以及体检场所的特色、环境、康体设施（体育健身类：游泳池、网球场、篮球场、羽毛球场、乒乓球场、电影院、足球场、健身器材；休闲服务类：电影院、健康跑道、爬山、钓鱼等）整体情况的相关说明来进行综合评审。 1、住宿客房环境优美，房间宽敞舒适，且间距、通风采光适宜，有窗户和阳台，光照充足，配置崭新，体育设施齐全，得8分； 2、住宿客房环境一般，房间较宽敞舒适，有一定的间距及通风采光，有窗户，配置半新不旧，体育设施且不齐全的，得5分； 3、住宿客房环境较差，房间较狭小，没有通风采光，无窗户阳台，配置较旧，体育设施少的，得2分。 4、无或其他不得分。 注：提供各个场地照片/图片和说明等证明文件。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体检报告 (6.0分)</w:t>
            </w:r>
          </w:p>
        </w:tc>
        <w:tc>
          <w:tcPr>
            <w:tcW w:w="5076" w:type="dxa"/>
          </w:tcPr>
          <w:p>
            <w:pPr>
              <w:jc w:val="left"/>
            </w:pPr>
            <w:r>
              <w:t>投标人具备提供：1）纸质体检报告，2）提供微信公众号或手机APP端查询电子体检报告，3）能够提供自助下载打印体检报告功能。 每提供一个得2分，本项最高得6分（需提供纸质报告样版、微信公众号或手机APP端查询电子报告界面、自助打印体检报告功能的截图证明）。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增值服务 (6.0分)</w:t>
            </w:r>
          </w:p>
        </w:tc>
        <w:tc>
          <w:tcPr>
            <w:tcW w:w="5076" w:type="dxa"/>
          </w:tcPr>
          <w:p>
            <w:pPr>
              <w:jc w:val="left"/>
            </w:pPr>
            <w:r>
              <w:t>1、能提供国民体质测定与运动健身的监测工作，能开展体适能检查和运动处方健康管理服务，有得3分，不提供者不得分； 注：提供承诺函或相关证明材料（开展国民体质监测的协议和有运动处方资质的相关人员）。 2、能提供心理健康咨询，并且要提供开展过心理健康相关课程或培训的证明：有得3分，不提供者不得分。 注：提供相关证明材料（开展过心理健康相关课程的图片及证明资料（如邀请函或者通知等）)。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非约定项目检查设备情况 (6.0分)</w:t>
            </w:r>
          </w:p>
        </w:tc>
        <w:tc>
          <w:tcPr>
            <w:tcW w:w="5076" w:type="dxa"/>
          </w:tcPr>
          <w:p>
            <w:pPr>
              <w:jc w:val="left"/>
            </w:pPr>
            <w:r>
              <w:t>投标人能提供以下设备并承诺能根据需要投入本项目，本项最多得6分。 （1）胶囊肠镜，得2分； （2）磁控胶囊胃镜，得2分； （3）核磁项目，得2分； 注：需提供承诺函；提供设备实物照片/图片和购买发票证明，或实物照片/图片和购置合同，不提供者不得分。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投标报价得分 (10.0分)</w:t>
            </w:r>
          </w:p>
        </w:tc>
        <w:tc>
          <w:tcPr>
            <w:tcW w:w="5076" w:type="dxa"/>
          </w:tcPr>
          <w:p>
            <w:pPr>
              <w:jc w:val="left"/>
            </w:pPr>
            <w:r>
              <w:t>价格分应当采用低价优先法计算，即满足招标文件要求（通过资格性审查和符合性审查）且投标价格最低的投标报价为评标基准价，其价格分为满分。其他投标人的价格分统一按照下列公式计算：投标报价得分＝（评标基准价/投标报价）×价格权值×100。因落实政府采购政策进行价格调整的，以调整后的价格计算评标基准价和投标报价。</w:t>
            </w:r>
          </w:p>
        </w:tc>
      </w:tr>
    </w:tbl>
    <w:p/>
    <w:p/>
    <w:p>
      <w:r>
        <w:t>采购包2(</w:t>
      </w:r>
      <w:r>
        <w:rPr>
          <w:rFonts w:hint="eastAsia"/>
        </w:rPr>
        <w:t>在编干部职工、合同人员及退休人员体检服务</w:t>
      </w:r>
      <w: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商务部分25.0分</w:t>
            </w:r>
          </w:p>
          <w:p>
            <w:r>
              <w:t>技术部分65.0分</w:t>
            </w:r>
          </w:p>
          <w:p>
            <w: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技术部分</w:t>
            </w:r>
          </w:p>
        </w:tc>
        <w:tc>
          <w:tcPr>
            <w:tcW w:w="2307" w:type="dxa"/>
          </w:tcPr>
          <w:p>
            <w:pPr>
              <w:jc w:val="left"/>
            </w:pPr>
            <w:r>
              <w:t>对采购人需求的响应程度 (4.0分)</w:t>
            </w:r>
          </w:p>
        </w:tc>
        <w:tc>
          <w:tcPr>
            <w:tcW w:w="5076" w:type="dxa"/>
          </w:tcPr>
          <w:p>
            <w:pPr>
              <w:jc w:val="left"/>
            </w:pPr>
            <w:r>
              <w:t>完全满足用户需求为优，得4分； 少部分不能满足用户需求为中，得2分； 大部分不能满足用户需求为差，得1分。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拟投入体检中心的综合情况 (7.0分)，（等次分值选择：0.0;1.0;3.0;5.0;7.0;）</w:t>
            </w:r>
          </w:p>
        </w:tc>
        <w:tc>
          <w:tcPr>
            <w:tcW w:w="5076" w:type="dxa"/>
          </w:tcPr>
          <w:p>
            <w:pPr>
              <w:jc w:val="left"/>
            </w:pPr>
            <w:r>
              <w:t>根据投标人承诺拟投入本项目的体检中心的综合情况进行评价： 1、体检中心面积宽敞明净、整体环境舒适、停车位置充足便利，各项设施设备数量充足、性能高端先进、整体维护保养状态好，各科室人员数量充足且证照齐全，得7分； 2、体检中心面积宽敞明净、整体环境舒适、停车位置比较充足便利，各项设施设备数量比较充足、性能比较高端先进、整体维护保养状态良好，各科室人员数量能够满足需求且证照齐全，得5分； 3、体检中心面积比较宽敞、整体环境较为舒适、可提供一定的停车位，各项设施设备数量基本满足需求、性能先进.性一般、整体维护保养状态一般，各科室人员数量基本满足需求但证照不十分齐全，得3分； 4、体检中心环境一般，可提供一定的停车位，各项设施设备数量及性能较为一般，各科室人员数量基本满足需求但证照不齐全，得1分； （注：根据采购需求中的要求，投标人如有多个体检中心的，以投标文件中所承诺的体检中心的综合情况进行评审，提供该体检中心的场地证明，相关平面图及照片等图文介绍，设备情况、人员情况等证明材料）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体检服务方案 (10.0分)，（等次分值选择：0.0;1.0;4.0;7.0;10.0;）</w:t>
            </w:r>
          </w:p>
        </w:tc>
        <w:tc>
          <w:tcPr>
            <w:tcW w:w="5076" w:type="dxa"/>
          </w:tcPr>
          <w:p>
            <w:pPr>
              <w:jc w:val="left"/>
            </w:pPr>
            <w:r>
              <w:t>根据投标人提供的体检服务方案（包括但不限于组织管理、运作流程、现场指引、体检安排、检验检测、结果反馈、健康档案管理等具体实施方案）进行综合评审。 1、体检服务方案合理，可操作性强，构思方案齐全，对本项目的理解把握程度和整体思路到位，服务能力强，具有针对性和可行性，具备科学合理性，各阶段服务计划详尽，能贴合项目实际需求，得10分。 2、体检服务方案较合理，可操作性较强，构思方案较全，对本项目的理解把握程度和整体思路较到位，服务能力较强，有一定的针对性和可行性，有一定的科学合理性，各阶段服务计划基本完整，基本能贴合项目实际需求，得7分。 3、体检服务方案基本合理，基本可操作，构思方案一般，对本项目的理解把握程度和整体思路一般，有一定的服务能力，针对性和可行性较低，各阶段服务计划无重大缺漏，部分内容能贴合项目实际需求，得4分。 4、体检服务方案不合理，可操作性差，构思方案缺失，对本项目的理解把握程度和整体思路不到位，服务能力差，不能贴合项目实际需求，得1分。 5、无或其他不得分。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保密、应急服务措施及配套措施 (7.0分)，（等次分值选择：0.0;1.0;2.0;4.0;7.0;）</w:t>
            </w:r>
          </w:p>
        </w:tc>
        <w:tc>
          <w:tcPr>
            <w:tcW w:w="5076" w:type="dxa"/>
          </w:tcPr>
          <w:p>
            <w:pPr>
              <w:jc w:val="left"/>
            </w:pPr>
            <w:r>
              <w:t>根据投标人对体检人员资料保密方案、应急服务措施（包含但不限于在现场过程中医疗应急事件、设备故障、人员集中、排队等候时间长等可能引发的问题和突发、意外事故等应急预案）、配套服务措施（包含但不限于检后健康指导、针对人员体检结果跟踪服务、体检结果疾病统计、重大疾病就医等配套服务）进行综合评审。 1、对体检人员资料保密方案、应急服务措施、配套服务措施详细具体，具有针对性和可行性，具备科学合理性，能贴合项目实际需求，得7分； 2、对体检人员资料保密方案、应急服务措施、配套服务措施基本完整，有一定的针对性和可行性，有一定的科学合理性，基本能贴合项目实际需求，得4分； 3、对体检人员资料保密方案、应急服务措施、配套服务措施无重大偏差，针对性和可行性较低，各阶段服务计划无重大缺漏，部分内容能贴合项目实际需求，得2分；  4、对体检人员资料保密方案、应急服务措施、配套服务措施缺漏不可行，不能贴合项目实际需求，得1分； 5、未提供得0分。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拟投入本项目体检中心的人员情况 (16.0分)</w:t>
            </w:r>
          </w:p>
        </w:tc>
        <w:tc>
          <w:tcPr>
            <w:tcW w:w="5076" w:type="dxa"/>
          </w:tcPr>
          <w:p>
            <w:pPr>
              <w:jc w:val="left"/>
            </w:pPr>
            <w:r>
              <w:t>根据投标人拟投入本项目的体检中心的医师或技师人员情况进行评审： 1、具备正高级职称（主任医师/主任技师）且具备博士研究生或以上学历者，且该人员为在职在岗人员，每人得1分，最高得8分；如为退休返聘人员或多点执业人员的，每人得0.5分，最高得4分；如人员中既有在职在岗人员又有退休返聘人员或多点执业人员的，则在职在岗人员按每人得1分，退休返聘及多点执业人员按每人得0.5分，最高得6分止。 2、具备副高级职称（副主任医师/副主任技师）且具备硕士研究生学历者（职称或学历在该要求以上的也算符合本项要求），且该人员为在职在岗人员，每人得0.5分，最高得5分；如为退休返聘人员或多点执业人员的，每人得0.3分，最高得2分；如人员中既有在职在岗人员又有退休返聘人员或多点执业人员的，则在职在岗人员按每人得0.5分，退休返聘及多点执业人员按每人得0.3分，最高得3分止。 3、具备中级职称（主治医师/主管技师）且具备本科学历者（职称或学历在该要求以上的也算符合要求），且该人员为在职在岗人员，每人得0.2分，最高得3分；如为退休返聘人员或多点执业人员的，每人得0.1分，最高得1分；如人员中既有在职在岗人员又有退休返聘人员或多点执业人员的，则在职在岗人员按每人得0.2分，退休返聘及多点执业人员按每人得0.1分，最高得2分止。 注：1、根据采购需求中的要求，投标人如有多个体检中心的，以投标文件中所承诺的体检中心的医师或技师人员进行评审。2、护理/护师方面的职称不纳入评审。3、提供以下证明材料：①人员列表【须注明人员姓名、性别、身份证号、学历、职称名称（如主任医师/主管技师）、职称等级（如正高级/副高级）、具体职务（如妇产科医师/放射科医师）等相关信息以便于评审】；②人员身份证；③与人员资质相对应的职称证书、学历证书复印件；④医师须提供执业证书（执业地点必须包含投标人单位或其拟投入的体检中心处，仅注册在投标人其他体检中心的不予计分）；⑤在职在岗人员须提供近3个月内任意一个月投标单位的社保证明，退休返聘人员或多点执业人员提供聘用证书或劳动合同。同一人不可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拟投入本项目的体检中心的科室配置及高端体检设备（包括彩超机、数字DR、CT机、自动生化分析仪等）的数量 (13.0分)</w:t>
            </w:r>
          </w:p>
        </w:tc>
        <w:tc>
          <w:tcPr>
            <w:tcW w:w="5076" w:type="dxa"/>
          </w:tcPr>
          <w:p>
            <w:pPr>
              <w:jc w:val="left"/>
            </w:pPr>
            <w:r>
              <w:t>根据投标人拟投入本项目的体检中心的主要体检科室及高端体检设备情况进行评审： ①该体检中心有≥10个彩超室，该体检中心投入高端彩超机达10台的得3分，在此基础上每增加1台多1分，最高得5分；体检中心不足10个彩超室或投入高端彩超机不足10台的，则如体检中心有≥7个彩超室，投入高端彩超机≥7台得2分；体检中心不足7个彩超室或投入高端彩超机不足7台的，则如体检中心有≥5个彩超室，投入高端彩超机≥5台得1分；不足5个彩超室或不足5台彩超的不得分； ②该体检中心有≥2个DR室，投入数字DR达2台的得2分，不满足不得分； ③该体检中心有≥2个CT室，投入CT机达2台的得2分，不满足不得分； ④投入全自动化学发光免疫分析仪3台（含）或以上得2分，1台（含）至2台（含）得1分，没有不得分；  ⑤投入全自动生化分析仪3台（含）或以上得2分，1台（含）至2台（含）得1分，没有不得分； 注：1、根据采购需求中的要求，投标人如有多个体检中心的，上述彩超、DR及CT的数量以投标文件中所承诺的体检中心的设备进行评审。2、须提供以下证明材料：①该体检中心的平面图纸（须注明各科室名称）及各科室现场照片；②提供设备类别、品牌型号说明、发票及设备采购合同以及实物照片作为证明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回访工作 (3.0分)</w:t>
            </w:r>
          </w:p>
        </w:tc>
        <w:tc>
          <w:tcPr>
            <w:tcW w:w="5076" w:type="dxa"/>
          </w:tcPr>
          <w:p>
            <w:pPr>
              <w:jc w:val="left"/>
            </w:pPr>
            <w:r>
              <w:t>开展健康管理回访工作，有相应的回访系统，并承诺投入到该项目的，得3分，不提供者不得分。 注：提供承诺函和相关证明材料（有健康管理回访工作系统的图片及资料）。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提供的增值服务 (5.0分)，（等次分值选择：0.0;1.0;3.0;5.0;）</w:t>
            </w:r>
          </w:p>
        </w:tc>
        <w:tc>
          <w:tcPr>
            <w:tcW w:w="5076" w:type="dxa"/>
          </w:tcPr>
          <w:p>
            <w:pPr>
              <w:jc w:val="left"/>
            </w:pPr>
            <w:r>
              <w:t>根据投标人针对采购需求中的增值服务情况进行评审： 1.针对采购人提供职场健康管理、老年人保健讲座服务；同时于检后对参检人员异常结果开展一对一讲解、答疑环节及开展健康讲座。 2.可提供心理能力提升课程，具有心理专科及提供具有资质的心理辅导人员进行心理健康辅导； 3.对体检后门诊就诊优先提供预约、住院发生的困难和问题给予积极的协调和合作，必要时开通绿色通道； 针对投标人对以上增值服务响应方案情况进行综合评价，响应方案应包括具体的实施计划、实施方案、实施人员、组织方案等内容，方案具体完善且合理可行，得5分，方案较具体完善较合理可行，得3分，方案不完善或不合理或不可行，得1分，未提供具体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商务部分</w:t>
            </w:r>
          </w:p>
        </w:tc>
        <w:tc>
          <w:tcPr>
            <w:tcW w:w="2307" w:type="dxa"/>
          </w:tcPr>
          <w:p>
            <w:pPr>
              <w:jc w:val="left"/>
            </w:pPr>
            <w:r>
              <w:t>同类项目业绩 (4.0分)</w:t>
            </w:r>
          </w:p>
        </w:tc>
        <w:tc>
          <w:tcPr>
            <w:tcW w:w="5076" w:type="dxa"/>
          </w:tcPr>
          <w:p>
            <w:pPr>
              <w:jc w:val="left"/>
            </w:pPr>
            <w:r>
              <w:t>提供投标供应商自2021年1月1日至今（以合同签订时间为准）承接并完成的单位团体体检项目业绩（个人业务不予计分），每提供1份业绩证明得0.5分，最高得4分。 备注：1、投标人提供合同复印件或验收报告复印件或提供业主出具的证明该项目已经完成的函；2、投标人所附的业绩材料未能充分证明该项目已经完成，该项业绩不计分。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质量管理体系 (2.0分)</w:t>
            </w:r>
          </w:p>
        </w:tc>
        <w:tc>
          <w:tcPr>
            <w:tcW w:w="5076" w:type="dxa"/>
          </w:tcPr>
          <w:p>
            <w:pPr>
              <w:jc w:val="left"/>
            </w:pPr>
            <w:r>
              <w:t>投标人具有完善的质量管理体系，具有ISO9001质量管理体系认证证书的，得2分，无不得分。 注：提供有效期内的体系认证证书复印件。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投标人服务便利性 (5.0分)，（等次分值选择：0.0;1.0;3.0;5.0;）</w:t>
            </w:r>
          </w:p>
        </w:tc>
        <w:tc>
          <w:tcPr>
            <w:tcW w:w="5076" w:type="dxa"/>
          </w:tcPr>
          <w:p>
            <w:pPr>
              <w:jc w:val="left"/>
            </w:pPr>
            <w:r>
              <w:t>根据投标人所承诺的体检中心的交通便利性情况做出评价： 地理位置好，各种公共交通均非常便利（包括地铁、BRT、公交车站），且距离采购人地址较近，便捷程度高得5分； 地理位置较好，各种公共交通较为便利（包括地铁、BRT、公交车站），且距离采购人地址较近，便捷程度较高得3分； 地理位置一般，公共交通便利性相对一般（包括地铁、BRT、公交车站），或距离采购人地址较远的，便捷程度一般的得1分； 注：1、根据采购需求中的要求，投标人如有多个体检中心的，以投标文件中所承诺的体检中心的地址进行评审。2、须提供以下证明材料：①体检中心的公共交通指引（包括地铁指引、BRT指引、公交车站指引）；②体检中心距离采购人地址（广州市天河区珠江新城海月路407号）的百度地图距离截图；③体检中心的地址证明文件（如该体检中心的登记证书地址或场所房屋所有权证明（如房产证或租赁合同等证明材料）所列明的地址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检验室（实验室）检测资质 (4.0分)</w:t>
            </w:r>
          </w:p>
        </w:tc>
        <w:tc>
          <w:tcPr>
            <w:tcW w:w="5076" w:type="dxa"/>
          </w:tcPr>
          <w:p>
            <w:pPr>
              <w:jc w:val="left"/>
            </w:pPr>
            <w:r>
              <w:t>能提供2021年1月1日以后由卫生部临床检验中心（或国家卫生健康委临床检验中心）颁发的各项体检项目的室间质评证书（包括但不限于常规化学、肿瘤标志物、糖化血红蛋白、脂类、全血细胞计数、尿液等室间质评证书等），每提供一个项目得0.25分，本项最高得4分。 （需提供复印件加盖公章，室间质评证书主体名称需与医疗机构执业许可证或营业执照名称一致，否则不得分）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投标人须设采购人体检专场 (3.0分)</w:t>
            </w:r>
          </w:p>
        </w:tc>
        <w:tc>
          <w:tcPr>
            <w:tcW w:w="5076" w:type="dxa"/>
          </w:tcPr>
          <w:p>
            <w:pPr>
              <w:jc w:val="left"/>
            </w:pPr>
            <w:r>
              <w:t>满足得3分，否则不得分。（提供承诺函）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智能导引系统 (2.0分)</w:t>
            </w:r>
          </w:p>
        </w:tc>
        <w:tc>
          <w:tcPr>
            <w:tcW w:w="5076" w:type="dxa"/>
          </w:tcPr>
          <w:p>
            <w:pPr>
              <w:jc w:val="left"/>
            </w:pPr>
            <w:r>
              <w:t>投标人所承诺的体检中心具有智能导引系统的，得2分，不具有不得分。 注：提供以下材料：①智能导引系统的主要操作功能截图；②如智能导引系统为投标人自行开发的，需提供智能导引系统的软件著作权证书，如为外购的，须提供购买发票证明文件。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体检报告 (5.0分)</w:t>
            </w:r>
          </w:p>
        </w:tc>
        <w:tc>
          <w:tcPr>
            <w:tcW w:w="5076" w:type="dxa"/>
          </w:tcPr>
          <w:p>
            <w:pPr>
              <w:jc w:val="left"/>
            </w:pPr>
            <w:r>
              <w:t>投标人具备提供：1）纸质体检报告，2）提供微信公众号或手机APP端查询电子体检报告，3）能够提供自助下载打印体检报告功能。 以上3项全部满足的得5分，每少1项扣2分，扣完即止。 （需提供纸质报告样版、微信公众号或手机APP端查询电子报告界面、自助打印体检报告功能的截图证明）。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投标报价得分 (10.0分)</w:t>
            </w:r>
          </w:p>
        </w:tc>
        <w:tc>
          <w:tcPr>
            <w:tcW w:w="5076" w:type="dxa"/>
          </w:tcPr>
          <w:p>
            <w:pPr>
              <w:jc w:val="left"/>
            </w:pPr>
            <w:r>
              <w:t>价格分应当采用低价优先法计算，即满足招标文件要求（通过资格性审查和符合性审查）且投标价格最低的投标报价为评标基准价，其价格分为满分。其他投标人的价格分统一按照下列公式计算：投标报价得分＝（评标基准价/投标报价）×价格权值×100。因落实政府采购政策进行价格调整的，以调整后的价格计算评标基准价和投标报价。</w:t>
            </w:r>
          </w:p>
        </w:tc>
      </w:tr>
    </w:tbl>
    <w:p/>
    <w:p>
      <w:r>
        <w:rPr>
          <w:b/>
          <w:sz w:val="24"/>
        </w:rPr>
        <w:t>4.汇总、排序</w:t>
      </w:r>
    </w:p>
    <w:p>
      <w:r>
        <w:t>采购包1：</w:t>
      </w:r>
    </w:p>
    <w:p>
      <w:pPr>
        <w:ind w:firstLine="420" w:firstLineChars="200"/>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t>采购包2：</w:t>
      </w:r>
    </w:p>
    <w:p>
      <w:pPr>
        <w:ind w:firstLine="420" w:firstLineChars="200"/>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t>除了按第四章第一点第7条修正并经投标人确认的投标报价作为中标价外，中标价以开标时公开唱标价为准。</w:t>
      </w:r>
    </w:p>
    <w:p>
      <w:r>
        <w:rPr>
          <w:b/>
          <w:sz w:val="24"/>
        </w:rPr>
        <w:t>6.其他无效投标的情形：</w:t>
      </w:r>
    </w:p>
    <w:p>
      <w:pPr>
        <w:ind w:firstLine="480"/>
      </w:pPr>
      <w:r>
        <w:t>(1)评标期间，投标人没有按评标委员会的要求提交法定代表人或其委托代理人签字的澄清、说明、补正或改变了投标文件的实质性内容的。</w:t>
      </w:r>
    </w:p>
    <w:p>
      <w:pPr>
        <w:ind w:firstLine="480"/>
      </w:pPr>
      <w:r>
        <w:t>(2)投标文件提供虚假材料的。</w:t>
      </w:r>
    </w:p>
    <w:p>
      <w:pPr>
        <w:ind w:firstLine="480"/>
      </w:pPr>
      <w:r>
        <w:t>(3)投标人以他人名义投标、串通投标、以行贿手段谋取中标或者以其他弄虚作假方式投标的。</w:t>
      </w:r>
    </w:p>
    <w:p>
      <w:pPr>
        <w:ind w:firstLine="480"/>
      </w:pPr>
      <w:r>
        <w:t>(4)投标人对采购人、采购代理机构、评标委员会及其工作人员施加影响，有碍招标公平、公正的。</w:t>
      </w:r>
    </w:p>
    <w:p>
      <w:pPr>
        <w:ind w:firstLine="480"/>
      </w:pPr>
      <w:r>
        <w:t>(5)投标文件含有采购人不能接受的附加条件的。</w:t>
      </w:r>
    </w:p>
    <w:p>
      <w:pPr>
        <w:ind w:firstLine="480"/>
      </w:pPr>
      <w:r>
        <w:t>(6)法律、法规和招标文件规定的其他无效情形。</w:t>
      </w:r>
    </w:p>
    <w:p>
      <w:pPr>
        <w:ind w:firstLine="480"/>
      </w:pPr>
    </w:p>
    <w:p>
      <w:pPr>
        <w:rPr>
          <w:rFonts w:hint="eastAsia"/>
          <w:lang w:val="en-US" w:eastAsia="zh-Hans"/>
        </w:rPr>
      </w:pP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068D2"/>
    <w:multiLevelType w:val="singleLevel"/>
    <w:tmpl w:val="463068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ZmY2YzExYzAxOTg3ZjZjZGM5NmJjMDkyZDI4NmIifQ=="/>
  </w:docVars>
  <w:rsids>
    <w:rsidRoot w:val="53B52B8D"/>
    <w:rsid w:val="01141165"/>
    <w:rsid w:val="02296E92"/>
    <w:rsid w:val="03EC0177"/>
    <w:rsid w:val="0653264B"/>
    <w:rsid w:val="08A94889"/>
    <w:rsid w:val="09F04D02"/>
    <w:rsid w:val="0A522CFE"/>
    <w:rsid w:val="0AA07593"/>
    <w:rsid w:val="0ABD0ABF"/>
    <w:rsid w:val="0BE81B6C"/>
    <w:rsid w:val="0D224C0A"/>
    <w:rsid w:val="0D29243C"/>
    <w:rsid w:val="0E6272B9"/>
    <w:rsid w:val="0ED85EC8"/>
    <w:rsid w:val="0EE228A3"/>
    <w:rsid w:val="0F20161D"/>
    <w:rsid w:val="101D790A"/>
    <w:rsid w:val="110079DA"/>
    <w:rsid w:val="117619C8"/>
    <w:rsid w:val="138228A6"/>
    <w:rsid w:val="14495172"/>
    <w:rsid w:val="177F50ED"/>
    <w:rsid w:val="194303E2"/>
    <w:rsid w:val="195B1BCF"/>
    <w:rsid w:val="19F70C35"/>
    <w:rsid w:val="1A9923D9"/>
    <w:rsid w:val="1AD339E7"/>
    <w:rsid w:val="1B19589E"/>
    <w:rsid w:val="1B4D5548"/>
    <w:rsid w:val="1D880AB9"/>
    <w:rsid w:val="1F0D396C"/>
    <w:rsid w:val="211508B6"/>
    <w:rsid w:val="21837F15"/>
    <w:rsid w:val="21957C48"/>
    <w:rsid w:val="21B87493"/>
    <w:rsid w:val="227710FC"/>
    <w:rsid w:val="22A243CB"/>
    <w:rsid w:val="25C24D84"/>
    <w:rsid w:val="25DC5E46"/>
    <w:rsid w:val="25FF1B34"/>
    <w:rsid w:val="26377520"/>
    <w:rsid w:val="26832765"/>
    <w:rsid w:val="2749367A"/>
    <w:rsid w:val="28072F22"/>
    <w:rsid w:val="29C25353"/>
    <w:rsid w:val="2A0A481A"/>
    <w:rsid w:val="2A27165A"/>
    <w:rsid w:val="2A497822"/>
    <w:rsid w:val="2A7C3754"/>
    <w:rsid w:val="2A9F38E6"/>
    <w:rsid w:val="2AB51AE7"/>
    <w:rsid w:val="2C666469"/>
    <w:rsid w:val="2C7D1A05"/>
    <w:rsid w:val="2D4B5504"/>
    <w:rsid w:val="2DE735DA"/>
    <w:rsid w:val="2E045F3A"/>
    <w:rsid w:val="2E9508AA"/>
    <w:rsid w:val="2F146650"/>
    <w:rsid w:val="2F9C03F4"/>
    <w:rsid w:val="2FF16992"/>
    <w:rsid w:val="305949F0"/>
    <w:rsid w:val="320D55D9"/>
    <w:rsid w:val="322F554F"/>
    <w:rsid w:val="328301F2"/>
    <w:rsid w:val="329900FB"/>
    <w:rsid w:val="32B83797"/>
    <w:rsid w:val="34136B4E"/>
    <w:rsid w:val="347436ED"/>
    <w:rsid w:val="356814A4"/>
    <w:rsid w:val="3579545F"/>
    <w:rsid w:val="36DB5CA6"/>
    <w:rsid w:val="38033706"/>
    <w:rsid w:val="38C67BD5"/>
    <w:rsid w:val="3AD71B60"/>
    <w:rsid w:val="3DEB4A20"/>
    <w:rsid w:val="3EDC25BB"/>
    <w:rsid w:val="3EEA4CD8"/>
    <w:rsid w:val="400718BA"/>
    <w:rsid w:val="40420B44"/>
    <w:rsid w:val="4044666A"/>
    <w:rsid w:val="41517290"/>
    <w:rsid w:val="418B0163"/>
    <w:rsid w:val="41A2189A"/>
    <w:rsid w:val="429A6A15"/>
    <w:rsid w:val="42F20C15"/>
    <w:rsid w:val="44337121"/>
    <w:rsid w:val="44AB4F09"/>
    <w:rsid w:val="44B33DBE"/>
    <w:rsid w:val="44D2693A"/>
    <w:rsid w:val="458B6AE9"/>
    <w:rsid w:val="467001B9"/>
    <w:rsid w:val="473016F6"/>
    <w:rsid w:val="47A65E5C"/>
    <w:rsid w:val="47FB487A"/>
    <w:rsid w:val="481D53D0"/>
    <w:rsid w:val="49920446"/>
    <w:rsid w:val="4ADB1B7B"/>
    <w:rsid w:val="4B553E21"/>
    <w:rsid w:val="4B6E6C91"/>
    <w:rsid w:val="4BC30D8B"/>
    <w:rsid w:val="4C123AC0"/>
    <w:rsid w:val="4C12586E"/>
    <w:rsid w:val="4C207F8B"/>
    <w:rsid w:val="4C995F8F"/>
    <w:rsid w:val="4D46134F"/>
    <w:rsid w:val="4EFE20DA"/>
    <w:rsid w:val="4F5F0DCA"/>
    <w:rsid w:val="504F7091"/>
    <w:rsid w:val="50575F45"/>
    <w:rsid w:val="51361FFF"/>
    <w:rsid w:val="51387B25"/>
    <w:rsid w:val="51AC22C1"/>
    <w:rsid w:val="51AC406F"/>
    <w:rsid w:val="52F91536"/>
    <w:rsid w:val="530D4FE1"/>
    <w:rsid w:val="53605111"/>
    <w:rsid w:val="53852DC9"/>
    <w:rsid w:val="53B52B8D"/>
    <w:rsid w:val="546B6463"/>
    <w:rsid w:val="55063070"/>
    <w:rsid w:val="554D7917"/>
    <w:rsid w:val="569212CF"/>
    <w:rsid w:val="570A5ABF"/>
    <w:rsid w:val="58515970"/>
    <w:rsid w:val="586D62C7"/>
    <w:rsid w:val="58F72073"/>
    <w:rsid w:val="58FA3857"/>
    <w:rsid w:val="5AA30BFC"/>
    <w:rsid w:val="5B57329D"/>
    <w:rsid w:val="5C433822"/>
    <w:rsid w:val="5C82259C"/>
    <w:rsid w:val="5D355860"/>
    <w:rsid w:val="5D557CB0"/>
    <w:rsid w:val="5D5E0913"/>
    <w:rsid w:val="5DD92690"/>
    <w:rsid w:val="5E587A58"/>
    <w:rsid w:val="5E7F4FE5"/>
    <w:rsid w:val="5EBB3B43"/>
    <w:rsid w:val="5F0C439F"/>
    <w:rsid w:val="5F3F29C6"/>
    <w:rsid w:val="5F9E76ED"/>
    <w:rsid w:val="5FF44A1B"/>
    <w:rsid w:val="60B70030"/>
    <w:rsid w:val="62B07153"/>
    <w:rsid w:val="62DF285B"/>
    <w:rsid w:val="63846BFA"/>
    <w:rsid w:val="639B133B"/>
    <w:rsid w:val="6401394C"/>
    <w:rsid w:val="64D64BB0"/>
    <w:rsid w:val="64DE2EB8"/>
    <w:rsid w:val="65150451"/>
    <w:rsid w:val="6522491C"/>
    <w:rsid w:val="65257F68"/>
    <w:rsid w:val="65295CAB"/>
    <w:rsid w:val="6598698C"/>
    <w:rsid w:val="65E63B9C"/>
    <w:rsid w:val="663761A5"/>
    <w:rsid w:val="66482160"/>
    <w:rsid w:val="67A1421E"/>
    <w:rsid w:val="67F00D02"/>
    <w:rsid w:val="68264723"/>
    <w:rsid w:val="6841542C"/>
    <w:rsid w:val="697D65C5"/>
    <w:rsid w:val="699A7177"/>
    <w:rsid w:val="69EE49D2"/>
    <w:rsid w:val="6A6E7069"/>
    <w:rsid w:val="6B154160"/>
    <w:rsid w:val="6B881251"/>
    <w:rsid w:val="6B9D2F4E"/>
    <w:rsid w:val="6BAE6F0A"/>
    <w:rsid w:val="6BD55A96"/>
    <w:rsid w:val="6CFC7A9E"/>
    <w:rsid w:val="6D1E3C1B"/>
    <w:rsid w:val="6D4B0788"/>
    <w:rsid w:val="6D6E64E5"/>
    <w:rsid w:val="6FE07A9C"/>
    <w:rsid w:val="70934920"/>
    <w:rsid w:val="723D4B43"/>
    <w:rsid w:val="7343262D"/>
    <w:rsid w:val="740A314B"/>
    <w:rsid w:val="750C6A4F"/>
    <w:rsid w:val="756D3991"/>
    <w:rsid w:val="75976C60"/>
    <w:rsid w:val="76206C56"/>
    <w:rsid w:val="76AF7FDA"/>
    <w:rsid w:val="76C361D8"/>
    <w:rsid w:val="777A05E8"/>
    <w:rsid w:val="77F79321"/>
    <w:rsid w:val="78B673FD"/>
    <w:rsid w:val="79A74FA7"/>
    <w:rsid w:val="79DC2E94"/>
    <w:rsid w:val="79E24222"/>
    <w:rsid w:val="7B7974B6"/>
    <w:rsid w:val="7BF3250D"/>
    <w:rsid w:val="7C703D67"/>
    <w:rsid w:val="7D14646E"/>
    <w:rsid w:val="7DFA7D8C"/>
    <w:rsid w:val="7E811C83"/>
    <w:rsid w:val="7EFB3DBC"/>
    <w:rsid w:val="7F363046"/>
    <w:rsid w:val="7F5B0CFF"/>
    <w:rsid w:val="7F80251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28709</Words>
  <Characters>30023</Characters>
  <Lines>0</Lines>
  <Paragraphs>0</Paragraphs>
  <TotalTime>176</TotalTime>
  <ScaleCrop>false</ScaleCrop>
  <LinksUpToDate>false</LinksUpToDate>
  <CharactersWithSpaces>30300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余火荣</cp:lastModifiedBy>
  <dcterms:modified xsi:type="dcterms:W3CDTF">2023-05-04T09:43:14Z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86DAEBCA75574A13900E73BA20517EB1</vt:lpwstr>
  </property>
</Properties>
</file>