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default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2022年广州市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白云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区工程系列建筑工程专业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技术人才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初级职称申报人员名册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>主管部门（盖章）：                                填报人：              联系电话：            手机：</w:t>
      </w:r>
    </w:p>
    <w:tbl>
      <w:tblPr>
        <w:tblStyle w:val="3"/>
        <w:tblW w:w="145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984"/>
        <w:gridCol w:w="820"/>
        <w:gridCol w:w="1277"/>
        <w:gridCol w:w="1232"/>
        <w:gridCol w:w="2115"/>
        <w:gridCol w:w="2052"/>
        <w:gridCol w:w="2214"/>
        <w:gridCol w:w="1365"/>
        <w:gridCol w:w="1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姓名                 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参加工作时间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现工作单位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现资格取得时间及名称级别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何时何校何专业何学历毕业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申报专业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资格名称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本人联系电话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张某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1975-10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1997-08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广州市XXXXX有限公司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2008-11/建筑工程管理/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助理工程师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1998-07/广州大学/土木工程/本科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建筑工程管理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136xxxxxxxx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B06A4"/>
    <w:rsid w:val="1713183D"/>
    <w:rsid w:val="4B6B06A4"/>
    <w:rsid w:val="5094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区住房建设和交通局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2023-05-05T09:48:00Z</dcterms:created>
  <dc:creator>叶思婉</dc:creator>
  <cp:lastModifiedBy>叶思婉</cp:lastModifiedBy>
  <dcterms:modified xsi:type="dcterms:W3CDTF">2023-05-05T09:49:01Z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4E561B1AFF304F92961B6778DB83C650</vt:lpwstr>
  </property>
</Properties>
</file>