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580" w:lineRule="exact"/>
        <w:jc w:val="left"/>
        <w:rPr>
          <w:rFonts w:hint="eastAsia" w:ascii="黑体" w:hAnsi="黑体" w:eastAsia="黑体" w:cs="黑体"/>
          <w:color w:val="000000"/>
          <w:kern w:val="0"/>
          <w:sz w:val="32"/>
          <w:szCs w:val="32"/>
          <w:highlight w:val="none"/>
        </w:rPr>
      </w:pPr>
      <w:r>
        <w:rPr>
          <w:rFonts w:hint="eastAsia" w:ascii="黑体" w:hAnsi="黑体" w:eastAsia="黑体" w:cs="黑体"/>
          <w:color w:val="000000"/>
          <w:kern w:val="0"/>
          <w:sz w:val="32"/>
          <w:szCs w:val="32"/>
          <w:highlight w:val="none"/>
        </w:rPr>
        <w:t>附件</w:t>
      </w:r>
    </w:p>
    <w:p>
      <w:pPr>
        <w:pStyle w:val="2"/>
        <w:rPr>
          <w:rFonts w:hint="eastAsia"/>
        </w:rPr>
      </w:pPr>
    </w:p>
    <w:p>
      <w:pPr>
        <w:spacing w:line="580" w:lineRule="exact"/>
        <w:jc w:val="center"/>
        <w:rPr>
          <w:rFonts w:hint="eastAsia" w:ascii="方正小标宋简体" w:hAnsi="方正小标宋简体" w:eastAsia="方正小标宋简体" w:cs="方正小标宋简体"/>
          <w:b w:val="0"/>
          <w:bCs w:val="0"/>
          <w:kern w:val="0"/>
          <w:sz w:val="44"/>
          <w:szCs w:val="44"/>
          <w:highlight w:val="none"/>
          <w:lang w:val="en-US" w:eastAsia="zh-CN"/>
        </w:rPr>
      </w:pPr>
      <w:bookmarkStart w:id="0" w:name="_GoBack"/>
      <w:r>
        <w:rPr>
          <w:rFonts w:hint="eastAsia" w:ascii="方正小标宋简体" w:hAnsi="方正小标宋简体" w:eastAsia="方正小标宋简体" w:cs="方正小标宋简体"/>
          <w:b w:val="0"/>
          <w:bCs w:val="0"/>
          <w:kern w:val="0"/>
          <w:sz w:val="44"/>
          <w:szCs w:val="44"/>
          <w:lang w:eastAsia="zh-CN"/>
        </w:rPr>
        <w:t>巩固脱贫攻坚推进乡村振兴宣传</w:t>
      </w:r>
      <w:r>
        <w:rPr>
          <w:rFonts w:hint="eastAsia" w:ascii="方正小标宋简体" w:hAnsi="方正小标宋简体" w:eastAsia="方正小标宋简体" w:cs="方正小标宋简体"/>
          <w:b w:val="0"/>
          <w:bCs w:val="0"/>
          <w:kern w:val="0"/>
          <w:sz w:val="44"/>
          <w:szCs w:val="44"/>
          <w:highlight w:val="none"/>
          <w:lang w:val="en-US" w:eastAsia="zh-CN"/>
        </w:rPr>
        <w:t>项目</w:t>
      </w:r>
    </w:p>
    <w:p>
      <w:pPr>
        <w:spacing w:line="580" w:lineRule="exact"/>
        <w:jc w:val="center"/>
        <w:rPr>
          <w:rFonts w:hint="eastAsia" w:ascii="方正小标宋简体" w:hAnsi="方正小标宋简体" w:eastAsia="方正小标宋简体" w:cs="方正小标宋简体"/>
          <w:b w:val="0"/>
          <w:bCs w:val="0"/>
          <w:color w:val="000000"/>
          <w:sz w:val="44"/>
          <w:szCs w:val="44"/>
          <w:highlight w:val="none"/>
        </w:rPr>
      </w:pPr>
      <w:r>
        <w:rPr>
          <w:rFonts w:hint="eastAsia" w:ascii="方正小标宋简体" w:hAnsi="方正小标宋简体" w:eastAsia="方正小标宋简体" w:cs="方正小标宋简体"/>
          <w:b w:val="0"/>
          <w:bCs w:val="0"/>
          <w:color w:val="000000"/>
          <w:sz w:val="44"/>
          <w:szCs w:val="44"/>
          <w:highlight w:val="none"/>
        </w:rPr>
        <w:t>采购需求书</w:t>
      </w:r>
    </w:p>
    <w:bookmarkEnd w:id="0"/>
    <w:p>
      <w:pPr>
        <w:spacing w:line="580" w:lineRule="exact"/>
        <w:ind w:firstLine="880" w:firstLineChars="200"/>
        <w:rPr>
          <w:rFonts w:hint="eastAsia" w:ascii="方正小标宋简体" w:hAnsi="方正小标宋简体" w:eastAsia="方正小标宋简体" w:cs="方正小标宋简体"/>
          <w:b w:val="0"/>
          <w:bCs w:val="0"/>
          <w:caps/>
          <w:color w:val="000000"/>
          <w:sz w:val="44"/>
          <w:szCs w:val="44"/>
          <w:highlight w:val="none"/>
        </w:rPr>
      </w:pPr>
    </w:p>
    <w:p>
      <w:pPr>
        <w:spacing w:line="580" w:lineRule="exact"/>
        <w:ind w:firstLine="640" w:firstLineChars="200"/>
        <w:rPr>
          <w:rFonts w:ascii="黑体" w:hAnsi="黑体" w:eastAsia="黑体"/>
          <w:caps/>
          <w:color w:val="000000"/>
          <w:sz w:val="32"/>
          <w:szCs w:val="32"/>
          <w:highlight w:val="none"/>
        </w:rPr>
      </w:pPr>
      <w:r>
        <w:rPr>
          <w:rFonts w:hint="eastAsia" w:ascii="黑体" w:hAnsi="黑体" w:eastAsia="黑体"/>
          <w:caps/>
          <w:color w:val="000000"/>
          <w:sz w:val="32"/>
          <w:szCs w:val="32"/>
          <w:highlight w:val="none"/>
        </w:rPr>
        <w:t>一、项目名称</w:t>
      </w:r>
    </w:p>
    <w:p>
      <w:pPr>
        <w:spacing w:line="240" w:lineRule="auto"/>
        <w:ind w:left="1598" w:leftChars="304" w:hanging="960" w:hangingChars="300"/>
        <w:rPr>
          <w:rFonts w:hint="eastAsia" w:ascii="仿宋_GB2312" w:hAnsi="Times New Roman" w:eastAsia="仿宋_GB2312" w:cs="Times New Roman"/>
          <w:caps/>
          <w:color w:val="auto"/>
          <w:sz w:val="32"/>
          <w:szCs w:val="32"/>
          <w:highlight w:val="none"/>
        </w:rPr>
      </w:pPr>
      <w:r>
        <w:rPr>
          <w:rFonts w:hint="eastAsia" w:ascii="仿宋_GB2312" w:hAnsi="Times New Roman" w:eastAsia="仿宋_GB2312" w:cs="Times New Roman"/>
          <w:caps/>
          <w:color w:val="auto"/>
          <w:kern w:val="2"/>
          <w:sz w:val="32"/>
          <w:szCs w:val="32"/>
          <w:highlight w:val="none"/>
          <w:lang w:eastAsia="zh-CN"/>
        </w:rPr>
        <w:t>巩固脱贫攻坚推进乡村振兴宣传</w:t>
      </w:r>
    </w:p>
    <w:p>
      <w:pPr>
        <w:spacing w:line="580" w:lineRule="exact"/>
        <w:ind w:firstLine="640" w:firstLineChars="200"/>
        <w:rPr>
          <w:rFonts w:ascii="Calibri" w:hAnsi="Calibri" w:eastAsia="黑体"/>
          <w:color w:val="000000"/>
          <w:sz w:val="32"/>
          <w:szCs w:val="32"/>
          <w:highlight w:val="none"/>
        </w:rPr>
      </w:pPr>
      <w:r>
        <w:rPr>
          <w:rFonts w:hint="eastAsia" w:ascii="黑体" w:hAnsi="黑体" w:eastAsia="黑体"/>
          <w:color w:val="000000"/>
          <w:sz w:val="32"/>
          <w:szCs w:val="32"/>
          <w:highlight w:val="none"/>
        </w:rPr>
        <w:t>二、项目预算</w:t>
      </w:r>
    </w:p>
    <w:p>
      <w:pPr>
        <w:spacing w:line="580" w:lineRule="exact"/>
        <w:ind w:firstLine="645"/>
        <w:rPr>
          <w:rFonts w:ascii="Calibri" w:hAnsi="Calibri" w:eastAsia="仿宋_GB2312"/>
          <w:color w:val="000000"/>
          <w:sz w:val="32"/>
          <w:szCs w:val="32"/>
          <w:highlight w:val="none"/>
        </w:rPr>
      </w:pPr>
      <w:r>
        <w:rPr>
          <w:rFonts w:hint="eastAsia" w:ascii="仿宋_GB2312" w:eastAsia="仿宋_GB2312"/>
          <w:caps/>
          <w:color w:val="000000"/>
          <w:sz w:val="32"/>
          <w:szCs w:val="32"/>
          <w:highlight w:val="none"/>
        </w:rPr>
        <w:t>202</w:t>
      </w:r>
      <w:r>
        <w:rPr>
          <w:rFonts w:hint="eastAsia" w:ascii="仿宋_GB2312" w:eastAsia="仿宋_GB2312"/>
          <w:caps/>
          <w:color w:val="000000"/>
          <w:sz w:val="32"/>
          <w:szCs w:val="32"/>
          <w:highlight w:val="none"/>
          <w:lang w:val="en-US" w:eastAsia="zh-CN"/>
        </w:rPr>
        <w:t>3</w:t>
      </w:r>
      <w:r>
        <w:rPr>
          <w:rFonts w:hint="eastAsia" w:ascii="仿宋_GB2312" w:eastAsia="仿宋_GB2312"/>
          <w:caps/>
          <w:color w:val="000000"/>
          <w:sz w:val="32"/>
          <w:szCs w:val="32"/>
          <w:highlight w:val="none"/>
        </w:rPr>
        <w:t>年度</w:t>
      </w:r>
      <w:r>
        <w:rPr>
          <w:rFonts w:hint="eastAsia" w:ascii="仿宋_GB2312" w:eastAsia="仿宋_GB2312"/>
          <w:caps/>
          <w:color w:val="000000"/>
          <w:sz w:val="32"/>
          <w:szCs w:val="32"/>
          <w:highlight w:val="none"/>
          <w:lang w:eastAsia="zh-CN"/>
        </w:rPr>
        <w:t>广州</w:t>
      </w:r>
      <w:r>
        <w:rPr>
          <w:rFonts w:hint="eastAsia" w:ascii="仿宋_GB2312" w:eastAsia="仿宋_GB2312"/>
          <w:caps/>
          <w:color w:val="000000"/>
          <w:sz w:val="32"/>
          <w:szCs w:val="32"/>
          <w:highlight w:val="none"/>
        </w:rPr>
        <w:t>市人力资源市场服务中心工作经费人民币</w:t>
      </w:r>
      <w:r>
        <w:rPr>
          <w:rFonts w:hint="eastAsia" w:ascii="仿宋_GB2312" w:eastAsia="仿宋_GB2312"/>
          <w:caps/>
          <w:color w:val="000000"/>
          <w:sz w:val="32"/>
          <w:szCs w:val="32"/>
          <w:highlight w:val="none"/>
          <w:lang w:eastAsia="zh-CN"/>
        </w:rPr>
        <w:t>贰</w:t>
      </w:r>
      <w:r>
        <w:rPr>
          <w:rFonts w:hint="eastAsia" w:ascii="仿宋_GB2312" w:eastAsia="仿宋_GB2312"/>
          <w:caps/>
          <w:color w:val="000000"/>
          <w:sz w:val="32"/>
          <w:szCs w:val="32"/>
          <w:highlight w:val="none"/>
        </w:rPr>
        <w:t>拾</w:t>
      </w:r>
      <w:r>
        <w:rPr>
          <w:rFonts w:hint="eastAsia" w:ascii="仿宋_GB2312" w:eastAsia="仿宋_GB2312"/>
          <w:caps/>
          <w:color w:val="000000"/>
          <w:sz w:val="32"/>
          <w:szCs w:val="32"/>
          <w:highlight w:val="none"/>
          <w:lang w:eastAsia="zh-CN"/>
        </w:rPr>
        <w:t>伍</w:t>
      </w:r>
      <w:r>
        <w:rPr>
          <w:rFonts w:hint="eastAsia" w:ascii="仿宋_GB2312" w:eastAsia="仿宋_GB2312"/>
          <w:caps/>
          <w:color w:val="000000"/>
          <w:sz w:val="32"/>
          <w:szCs w:val="32"/>
          <w:highlight w:val="none"/>
        </w:rPr>
        <w:t>万元整（￥</w:t>
      </w:r>
      <w:r>
        <w:rPr>
          <w:rFonts w:hint="eastAsia" w:ascii="仿宋_GB2312" w:eastAsia="仿宋_GB2312"/>
          <w:caps/>
          <w:color w:val="000000"/>
          <w:sz w:val="32"/>
          <w:szCs w:val="32"/>
          <w:highlight w:val="none"/>
          <w:lang w:val="en-US" w:eastAsia="zh-CN"/>
        </w:rPr>
        <w:t>250</w:t>
      </w:r>
      <w:r>
        <w:rPr>
          <w:rFonts w:hint="eastAsia" w:ascii="仿宋_GB2312" w:eastAsia="仿宋_GB2312"/>
          <w:caps/>
          <w:color w:val="000000"/>
          <w:sz w:val="32"/>
          <w:szCs w:val="32"/>
          <w:highlight w:val="none"/>
        </w:rPr>
        <w:t>000元）。</w:t>
      </w:r>
    </w:p>
    <w:p>
      <w:pPr>
        <w:spacing w:line="580" w:lineRule="exact"/>
        <w:ind w:left="640"/>
        <w:rPr>
          <w:rFonts w:ascii="黑体" w:hAnsi="黑体" w:eastAsia="黑体"/>
          <w:caps/>
          <w:color w:val="000000"/>
          <w:sz w:val="32"/>
          <w:szCs w:val="32"/>
          <w:highlight w:val="none"/>
        </w:rPr>
      </w:pPr>
      <w:r>
        <w:rPr>
          <w:rFonts w:hint="eastAsia" w:ascii="黑体" w:hAnsi="黑体" w:eastAsia="黑体"/>
          <w:caps/>
          <w:color w:val="000000"/>
          <w:sz w:val="32"/>
          <w:szCs w:val="32"/>
          <w:highlight w:val="none"/>
        </w:rPr>
        <w:t>三、项目目的</w:t>
      </w:r>
    </w:p>
    <w:p>
      <w:pPr>
        <w:spacing w:line="580" w:lineRule="exact"/>
        <w:ind w:firstLine="640" w:firstLineChars="200"/>
        <w:rPr>
          <w:rFonts w:hint="eastAsia" w:ascii="仿宋_GB2312" w:hAnsi="Arial" w:eastAsia="仿宋_GB2312" w:cs="Arial"/>
          <w:color w:val="auto"/>
          <w:kern w:val="0"/>
          <w:sz w:val="32"/>
          <w:szCs w:val="32"/>
          <w:highlight w:val="none"/>
          <w:lang w:eastAsia="zh-CN"/>
        </w:rPr>
      </w:pPr>
      <w:r>
        <w:rPr>
          <w:rFonts w:hint="eastAsia" w:ascii="仿宋_GB2312" w:hAnsi="Arial" w:eastAsia="仿宋_GB2312" w:cs="Arial"/>
          <w:color w:val="auto"/>
          <w:kern w:val="0"/>
          <w:sz w:val="32"/>
          <w:szCs w:val="32"/>
          <w:highlight w:val="none"/>
          <w:lang w:val="en-US" w:eastAsia="zh-CN"/>
        </w:rPr>
        <w:t>通过委托第三方</w:t>
      </w:r>
      <w:r>
        <w:rPr>
          <w:rFonts w:hint="eastAsia" w:ascii="仿宋_GB2312" w:hAnsi="Arial" w:eastAsia="仿宋_GB2312" w:cs="Arial"/>
          <w:color w:val="auto"/>
          <w:kern w:val="0"/>
          <w:sz w:val="32"/>
          <w:szCs w:val="32"/>
          <w:highlight w:val="none"/>
        </w:rPr>
        <w:t>开</w:t>
      </w:r>
      <w:r>
        <w:rPr>
          <w:rFonts w:hint="eastAsia" w:ascii="仿宋_GB2312" w:hAnsi="Times New Roman" w:eastAsia="仿宋_GB2312" w:cs="Times New Roman"/>
          <w:caps/>
          <w:color w:val="auto"/>
          <w:kern w:val="2"/>
          <w:sz w:val="32"/>
          <w:szCs w:val="32"/>
          <w:highlight w:val="none"/>
        </w:rPr>
        <w:t>展</w:t>
      </w:r>
      <w:r>
        <w:rPr>
          <w:rFonts w:hint="eastAsia" w:ascii="仿宋_GB2312" w:hAnsi="Times New Roman" w:eastAsia="仿宋_GB2312" w:cs="Times New Roman"/>
          <w:caps/>
          <w:color w:val="auto"/>
          <w:kern w:val="2"/>
          <w:sz w:val="32"/>
          <w:szCs w:val="32"/>
          <w:highlight w:val="none"/>
          <w:lang w:eastAsia="zh-CN"/>
        </w:rPr>
        <w:t>“巩固脱贫攻坚推进乡村振兴宣传”</w:t>
      </w:r>
      <w:r>
        <w:rPr>
          <w:rFonts w:hint="eastAsia" w:ascii="仿宋_GB2312" w:hAnsi="Times New Roman" w:eastAsia="仿宋_GB2312" w:cs="Times New Roman"/>
          <w:caps/>
          <w:color w:val="auto"/>
          <w:kern w:val="2"/>
          <w:sz w:val="32"/>
          <w:szCs w:val="32"/>
          <w:highlight w:val="none"/>
          <w:lang w:val="en-US" w:eastAsia="zh-CN"/>
        </w:rPr>
        <w:t>项目，</w:t>
      </w:r>
      <w:r>
        <w:rPr>
          <w:rFonts w:hint="eastAsia" w:ascii="仿宋_GB2312" w:hAnsi="仿宋_GB2312" w:eastAsia="仿宋_GB2312" w:cs="仿宋_GB2312"/>
          <w:sz w:val="32"/>
          <w:szCs w:val="32"/>
        </w:rPr>
        <w:t>加强</w:t>
      </w:r>
      <w:r>
        <w:rPr>
          <w:rFonts w:hint="eastAsia" w:ascii="仿宋_GB2312" w:hAnsi="仿宋_GB2312" w:eastAsia="仿宋_GB2312" w:cs="仿宋_GB2312"/>
          <w:sz w:val="32"/>
          <w:szCs w:val="32"/>
          <w:lang w:val="en-US" w:eastAsia="zh-CN"/>
        </w:rPr>
        <w:t>广州劳务协作</w:t>
      </w:r>
      <w:r>
        <w:rPr>
          <w:rFonts w:hint="eastAsia" w:ascii="仿宋_GB2312" w:hAnsi="仿宋_GB2312" w:eastAsia="仿宋_GB2312" w:cs="仿宋_GB2312"/>
          <w:sz w:val="32"/>
          <w:szCs w:val="32"/>
        </w:rPr>
        <w:t>政策宣传、服务宣传、典型宣传</w:t>
      </w:r>
      <w:r>
        <w:rPr>
          <w:rFonts w:hint="eastAsia" w:ascii="仿宋_GB2312" w:hAnsi="仿宋_GB2312" w:eastAsia="仿宋_GB2312" w:cs="仿宋_GB2312"/>
          <w:sz w:val="32"/>
          <w:szCs w:val="32"/>
          <w:lang w:eastAsia="zh-CN"/>
        </w:rPr>
        <w:t>等宣传工作</w:t>
      </w:r>
      <w:r>
        <w:rPr>
          <w:rFonts w:hint="eastAsia" w:ascii="仿宋_GB2312" w:hAnsi="仿宋_GB2312" w:eastAsia="仿宋_GB2312" w:cs="仿宋_GB2312"/>
          <w:sz w:val="32"/>
          <w:szCs w:val="32"/>
        </w:rPr>
        <w:t>，进一步</w:t>
      </w:r>
      <w:r>
        <w:rPr>
          <w:rFonts w:hint="eastAsia" w:ascii="仿宋_GB2312" w:hAnsi="仿宋_GB2312" w:eastAsia="仿宋_GB2312" w:cs="仿宋_GB2312"/>
          <w:kern w:val="0"/>
          <w:sz w:val="32"/>
          <w:szCs w:val="32"/>
          <w:lang w:val="en-US" w:eastAsia="zh-CN"/>
        </w:rPr>
        <w:t>巩固拓展脱贫攻坚成果，全面推进乡村振兴</w:t>
      </w:r>
      <w:r>
        <w:rPr>
          <w:rFonts w:hint="eastAsia" w:ascii="仿宋_GB2312" w:hAnsi="Arial" w:eastAsia="仿宋_GB2312" w:cs="Arial"/>
          <w:color w:val="auto"/>
          <w:kern w:val="0"/>
          <w:sz w:val="32"/>
          <w:szCs w:val="32"/>
          <w:highlight w:val="none"/>
          <w:lang w:eastAsia="zh-CN"/>
        </w:rPr>
        <w:t>。</w:t>
      </w:r>
    </w:p>
    <w:p>
      <w:pPr>
        <w:spacing w:line="580" w:lineRule="exact"/>
        <w:ind w:firstLine="640" w:firstLineChars="200"/>
        <w:rPr>
          <w:rFonts w:ascii="黑体" w:hAnsi="宋体" w:eastAsia="黑体"/>
          <w:color w:val="000000"/>
          <w:sz w:val="32"/>
          <w:szCs w:val="32"/>
          <w:highlight w:val="none"/>
        </w:rPr>
      </w:pPr>
      <w:r>
        <w:rPr>
          <w:rFonts w:hint="eastAsia" w:ascii="黑体" w:hAnsi="黑体" w:eastAsia="黑体"/>
          <w:color w:val="000000"/>
          <w:sz w:val="32"/>
          <w:szCs w:val="32"/>
          <w:highlight w:val="none"/>
        </w:rPr>
        <w:t>四、项目要求</w:t>
      </w:r>
    </w:p>
    <w:p>
      <w:pPr>
        <w:wordWrap w:val="0"/>
        <w:adjustRightInd/>
        <w:snapToGrid/>
        <w:spacing w:line="560" w:lineRule="exact"/>
        <w:ind w:firstLine="640" w:firstLineChars="200"/>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项目将开设“千里相携，山海共向未来”专栏，以及发布新媒体产品，并在纸质报纸整版宣传广州东西部劳务协作整体工作成效</w:t>
      </w:r>
      <w:r>
        <w:rPr>
          <w:rFonts w:hint="eastAsia" w:ascii="仿宋" w:hAnsi="仿宋" w:eastAsia="仿宋" w:cs="仿宋"/>
          <w:sz w:val="30"/>
          <w:szCs w:val="30"/>
          <w:lang w:val="en-US" w:eastAsia="zh-CN"/>
        </w:rPr>
        <w:t>，</w:t>
      </w:r>
      <w:r>
        <w:rPr>
          <w:rFonts w:hint="eastAsia" w:ascii="仿宋_GB2312" w:hAnsi="仿宋_GB2312" w:eastAsia="仿宋_GB2312" w:cs="仿宋_GB2312"/>
          <w:kern w:val="0"/>
          <w:sz w:val="32"/>
          <w:szCs w:val="32"/>
          <w:lang w:val="en-US" w:eastAsia="zh-CN"/>
        </w:rPr>
        <w:t>以最新政策解读、工作亮点挖掘、新媒体吸引等方式推动宣传工作,</w:t>
      </w:r>
      <w:r>
        <w:rPr>
          <w:rFonts w:hint="eastAsia" w:ascii="仿宋" w:hAnsi="仿宋" w:eastAsia="仿宋"/>
          <w:sz w:val="32"/>
          <w:szCs w:val="32"/>
          <w:lang w:eastAsia="zh-CN"/>
        </w:rPr>
        <w:t>本项目实际</w:t>
      </w:r>
      <w:r>
        <w:rPr>
          <w:rFonts w:hint="eastAsia" w:ascii="仿宋" w:hAnsi="仿宋" w:eastAsia="仿宋"/>
          <w:sz w:val="32"/>
          <w:szCs w:val="32"/>
        </w:rPr>
        <w:t>发布内容及形式等根据实际情况等</w:t>
      </w:r>
      <w:r>
        <w:rPr>
          <w:rFonts w:hint="eastAsia" w:ascii="仿宋" w:hAnsi="仿宋" w:eastAsia="仿宋"/>
          <w:sz w:val="32"/>
          <w:szCs w:val="32"/>
          <w:lang w:eastAsia="zh-CN"/>
        </w:rPr>
        <w:t>以经双</w:t>
      </w:r>
      <w:r>
        <w:rPr>
          <w:rFonts w:hint="eastAsia" w:ascii="仿宋" w:hAnsi="仿宋" w:eastAsia="仿宋"/>
          <w:sz w:val="32"/>
          <w:szCs w:val="32"/>
        </w:rPr>
        <w:t>方充分沟通后确定的为准</w:t>
      </w:r>
      <w:r>
        <w:rPr>
          <w:rFonts w:hint="eastAsia" w:ascii="仿宋" w:hAnsi="仿宋" w:eastAsia="仿宋"/>
          <w:sz w:val="32"/>
          <w:szCs w:val="32"/>
          <w:lang w:eastAsia="zh-CN"/>
        </w:rPr>
        <w:t>，</w:t>
      </w:r>
      <w:r>
        <w:rPr>
          <w:rFonts w:hint="eastAsia" w:ascii="仿宋" w:hAnsi="仿宋" w:eastAsia="仿宋"/>
          <w:sz w:val="32"/>
          <w:szCs w:val="32"/>
        </w:rPr>
        <w:t>网络平台发布的信息保留至少一年。</w:t>
      </w:r>
      <w:r>
        <w:rPr>
          <w:rFonts w:hint="eastAsia" w:ascii="仿宋_GB2312" w:hAnsi="仿宋_GB2312" w:eastAsia="仿宋_GB2312" w:cs="仿宋_GB2312"/>
          <w:kern w:val="0"/>
          <w:sz w:val="32"/>
          <w:szCs w:val="32"/>
          <w:lang w:val="en-US" w:eastAsia="zh-CN"/>
        </w:rPr>
        <w:t>具体如下：</w:t>
      </w:r>
    </w:p>
    <w:p>
      <w:pPr>
        <w:numPr>
          <w:ilvl w:val="0"/>
          <w:numId w:val="1"/>
        </w:numPr>
        <w:adjustRightInd w:val="0"/>
        <w:snapToGrid w:val="0"/>
        <w:spacing w:line="560" w:lineRule="exact"/>
        <w:ind w:left="0" w:leftChars="0" w:firstLine="643" w:firstLineChars="200"/>
        <w:jc w:val="left"/>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val="en-US" w:eastAsia="zh-CN"/>
        </w:rPr>
        <w:t>“千里相携，山海共向未来”专栏</w:t>
      </w:r>
    </w:p>
    <w:p>
      <w:pPr>
        <w:numPr>
          <w:ilvl w:val="-1"/>
          <w:numId w:val="0"/>
        </w:numPr>
        <w:adjustRightInd w:val="0"/>
        <w:snapToGrid w:val="0"/>
        <w:spacing w:line="560" w:lineRule="exact"/>
        <w:ind w:left="0" w:leftChars="0" w:firstLine="640" w:firstLineChars="200"/>
        <w:jc w:val="left"/>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kern w:val="0"/>
          <w:sz w:val="32"/>
          <w:szCs w:val="32"/>
          <w:lang w:val="en-US" w:eastAsia="zh-CN"/>
        </w:rPr>
        <w:t>项目将通过广东省或广州市官方权威媒体网络平台开设“千里相携，山海共向未来”专栏，并在专栏下面设置</w:t>
      </w:r>
      <w:r>
        <w:rPr>
          <w:rFonts w:hint="eastAsia" w:ascii="仿宋_GB2312" w:hAnsi="仿宋_GB2312" w:eastAsia="仿宋_GB2312" w:cs="仿宋_GB2312"/>
          <w:b w:val="0"/>
          <w:bCs w:val="0"/>
          <w:kern w:val="0"/>
          <w:sz w:val="32"/>
          <w:szCs w:val="32"/>
          <w:lang w:val="en-US" w:eastAsia="zh-CN"/>
        </w:rPr>
        <w:t>政策解读专栏、深度观察专栏、山海心连之家专栏，具体如下</w:t>
      </w:r>
      <w:r>
        <w:rPr>
          <w:rFonts w:hint="eastAsia" w:ascii="仿宋_GB2312" w:hAnsi="仿宋_GB2312" w:eastAsia="仿宋_GB2312" w:cs="仿宋_GB2312"/>
          <w:b/>
          <w:bCs/>
          <w:kern w:val="0"/>
          <w:sz w:val="32"/>
          <w:szCs w:val="32"/>
          <w:lang w:val="en-US" w:eastAsia="zh-CN"/>
        </w:rPr>
        <w:t>：</w:t>
      </w:r>
    </w:p>
    <w:p>
      <w:pPr>
        <w:numPr>
          <w:ilvl w:val="0"/>
          <w:numId w:val="0"/>
        </w:numPr>
        <w:adjustRightInd w:val="0"/>
        <w:snapToGrid w:val="0"/>
        <w:spacing w:line="560" w:lineRule="exact"/>
        <w:ind w:firstLine="643" w:firstLineChars="200"/>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b/>
          <w:bCs/>
          <w:kern w:val="0"/>
          <w:sz w:val="32"/>
          <w:szCs w:val="32"/>
          <w:lang w:val="en-US" w:eastAsia="zh-CN"/>
        </w:rPr>
        <w:t>1.政策解读专栏：</w:t>
      </w:r>
      <w:r>
        <w:rPr>
          <w:rFonts w:hint="eastAsia" w:ascii="仿宋_GB2312" w:hAnsi="仿宋_GB2312" w:eastAsia="仿宋_GB2312" w:cs="仿宋_GB2312"/>
          <w:kern w:val="0"/>
          <w:sz w:val="32"/>
          <w:szCs w:val="32"/>
          <w:lang w:val="en-US" w:eastAsia="zh-CN"/>
        </w:rPr>
        <w:t>在政策解读专栏，将集中展示补贴政策内容，包括政策办事指南、常见问题问答、补贴申领机构、脱贫人口可享受的政策清单、一县一企政策以及专车专列政策。内容将覆盖各个政策的补贴条件、补贴标准、补贴期限、应提交材料、应核验信息、申请程序等政策信息，进一步提高人民群众对东西部劳务协作相关补贴政策的知晓度，拉起一张政策宣传的大网。系列报道文章每篇篇幅1000-2000字左右，不少于 15篇。</w:t>
      </w:r>
    </w:p>
    <w:p>
      <w:pPr>
        <w:numPr>
          <w:ilvl w:val="0"/>
          <w:numId w:val="0"/>
        </w:numPr>
        <w:adjustRightInd w:val="0"/>
        <w:snapToGrid w:val="0"/>
        <w:spacing w:line="560" w:lineRule="exact"/>
        <w:ind w:firstLine="643" w:firstLineChars="200"/>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b/>
          <w:bCs/>
          <w:kern w:val="0"/>
          <w:sz w:val="32"/>
          <w:szCs w:val="32"/>
          <w:lang w:val="en-US" w:eastAsia="zh-CN"/>
        </w:rPr>
        <w:t>2.深度观察专栏：</w:t>
      </w:r>
      <w:r>
        <w:rPr>
          <w:rFonts w:hint="eastAsia" w:ascii="仿宋_GB2312" w:hAnsi="仿宋_GB2312" w:eastAsia="仿宋_GB2312" w:cs="仿宋_GB2312"/>
          <w:kern w:val="0"/>
          <w:sz w:val="32"/>
          <w:szCs w:val="32"/>
          <w:lang w:val="en-US" w:eastAsia="zh-CN"/>
        </w:rPr>
        <w:t>不少于4篇，典型务工人员宣传、服务机构、服务人员宣传共3篇，每篇3000字左右；工作整体成效宣传1篇，5000字左右。</w:t>
      </w:r>
    </w:p>
    <w:p>
      <w:pPr>
        <w:numPr>
          <w:ilvl w:val="0"/>
          <w:numId w:val="0"/>
        </w:numPr>
        <w:adjustRightInd w:val="0"/>
        <w:snapToGrid w:val="0"/>
        <w:spacing w:line="560" w:lineRule="exact"/>
        <w:ind w:firstLine="643" w:firstLineChars="200"/>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b/>
          <w:bCs/>
          <w:kern w:val="0"/>
          <w:sz w:val="32"/>
          <w:szCs w:val="32"/>
          <w:lang w:val="en-US" w:eastAsia="zh-CN"/>
        </w:rPr>
        <w:t>典型案例宣传。</w:t>
      </w:r>
      <w:r>
        <w:rPr>
          <w:rFonts w:hint="eastAsia" w:ascii="仿宋_GB2312" w:hAnsi="仿宋_GB2312" w:eastAsia="仿宋_GB2312" w:cs="仿宋_GB2312"/>
          <w:kern w:val="0"/>
          <w:sz w:val="32"/>
          <w:szCs w:val="32"/>
          <w:lang w:val="en-US" w:eastAsia="zh-CN"/>
        </w:rPr>
        <w:t>通过挖掘东西部劳务协作务工人员、致富带头人等典型案例，体现工作成效。</w:t>
      </w:r>
    </w:p>
    <w:p>
      <w:pPr>
        <w:numPr>
          <w:ilvl w:val="0"/>
          <w:numId w:val="0"/>
        </w:numPr>
        <w:adjustRightInd w:val="0"/>
        <w:snapToGrid w:val="0"/>
        <w:spacing w:line="560" w:lineRule="exact"/>
        <w:ind w:firstLine="643" w:firstLineChars="200"/>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b/>
          <w:bCs/>
          <w:kern w:val="0"/>
          <w:sz w:val="32"/>
          <w:szCs w:val="32"/>
          <w:lang w:val="en-US" w:eastAsia="zh-CN"/>
        </w:rPr>
        <w:t>服务机构、服务人员宣传。</w:t>
      </w:r>
      <w:r>
        <w:rPr>
          <w:rFonts w:hint="eastAsia" w:ascii="仿宋_GB2312" w:hAnsi="仿宋_GB2312" w:eastAsia="仿宋_GB2312" w:cs="仿宋_GB2312"/>
          <w:kern w:val="0"/>
          <w:sz w:val="32"/>
          <w:szCs w:val="32"/>
          <w:lang w:val="en-US" w:eastAsia="zh-CN"/>
        </w:rPr>
        <w:t>围绕各区山海心连之家案例、工作亮点及成效，挖掘各区落实落地省、市关于东西部劳务协作要求的具体实践，展现广州从上至下一以贯之的工作态度及各具特色的工作内容。以广黔“山海心连之家”的突出亮点工作为重点，从就业宣传、技能培训、就业推荐、劳动维权、老乡关怀等方面，以小切口、小故事、小人物着眼，宣传报道广州“山海心连之家”的建设情况，展现广州东西部劳务协作的成果。</w:t>
      </w:r>
    </w:p>
    <w:p>
      <w:pPr>
        <w:numPr>
          <w:ilvl w:val="0"/>
          <w:numId w:val="0"/>
        </w:numPr>
        <w:wordWrap/>
        <w:adjustRightInd w:val="0"/>
        <w:snapToGrid w:val="0"/>
        <w:spacing w:line="560" w:lineRule="exact"/>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kern w:val="0"/>
          <w:sz w:val="32"/>
          <w:szCs w:val="32"/>
          <w:lang w:val="en-US" w:eastAsia="zh-CN"/>
        </w:rPr>
        <w:t>3.山海心连之家专栏（地图索引）：</w:t>
      </w:r>
      <w:r>
        <w:rPr>
          <w:rFonts w:hint="eastAsia" w:ascii="仿宋_GB2312" w:hAnsi="仿宋_GB2312" w:eastAsia="仿宋_GB2312" w:cs="仿宋_GB2312"/>
          <w:kern w:val="0"/>
          <w:sz w:val="32"/>
          <w:szCs w:val="32"/>
          <w:lang w:val="en-US" w:eastAsia="zh-CN"/>
        </w:rPr>
        <w:t>在山海心连之家专栏置顶宣传，通过地图索引可以连接至24个“山海心连之家”的地理位置、基本情况及服务内容等。</w:t>
      </w:r>
    </w:p>
    <w:p>
      <w:pPr>
        <w:numPr>
          <w:ilvl w:val="0"/>
          <w:numId w:val="0"/>
        </w:numPr>
        <w:adjustRightInd w:val="0"/>
        <w:snapToGrid w:val="0"/>
        <w:spacing w:line="560" w:lineRule="exact"/>
        <w:ind w:firstLine="643" w:firstLineChars="200"/>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b/>
          <w:bCs/>
          <w:kern w:val="0"/>
          <w:sz w:val="32"/>
          <w:szCs w:val="32"/>
          <w:lang w:val="en-US" w:eastAsia="zh-CN"/>
        </w:rPr>
        <w:t>（二）新媒体产品宣传</w:t>
      </w:r>
    </w:p>
    <w:p>
      <w:pPr>
        <w:numPr>
          <w:ilvl w:val="0"/>
          <w:numId w:val="0"/>
        </w:numPr>
        <w:adjustRightInd w:val="0"/>
        <w:snapToGrid w:val="0"/>
        <w:spacing w:line="560" w:lineRule="exact"/>
        <w:ind w:firstLine="640" w:firstLineChars="200"/>
        <w:jc w:val="left"/>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针对广州六项独特的东西部劳务协作补贴政策，将选取其中三项重点内容，</w:t>
      </w:r>
      <w:r>
        <w:rPr>
          <w:rFonts w:hint="eastAsia" w:ascii="仿宋_GB2312" w:hAnsi="仿宋_GB2312" w:eastAsia="仿宋_GB2312" w:cs="仿宋_GB2312"/>
          <w:kern w:val="0"/>
          <w:sz w:val="32"/>
          <w:szCs w:val="32"/>
          <w:lang w:val="en-US" w:eastAsia="zh-CN"/>
        </w:rPr>
        <w:t>充分利用“互联网+”的宣传思维，将传统宣传方式和网络媒体等渠道进行有机结合，采取群众喜闻乐见的形式进行全方位政策宣传引导，如</w:t>
      </w:r>
      <w:r>
        <w:rPr>
          <w:rFonts w:hint="eastAsia" w:ascii="仿宋_GB2312" w:hAnsi="仿宋_GB2312" w:eastAsia="仿宋_GB2312" w:cs="仿宋_GB2312"/>
          <w:b w:val="0"/>
          <w:bCs w:val="0"/>
          <w:kern w:val="0"/>
          <w:sz w:val="32"/>
          <w:szCs w:val="32"/>
          <w:lang w:val="en-US" w:eastAsia="zh-CN"/>
        </w:rPr>
        <w:t>进行如短视频、动图、海报、长图、H5等新媒体形式的生动呈现，并通过广东省或广州市官方权威媒体网络平台发布不少于3个新媒体产品。</w:t>
      </w:r>
    </w:p>
    <w:p>
      <w:pPr>
        <w:numPr>
          <w:ilvl w:val="0"/>
          <w:numId w:val="0"/>
        </w:numPr>
        <w:adjustRightInd w:val="0"/>
        <w:snapToGrid w:val="0"/>
        <w:spacing w:line="560" w:lineRule="exact"/>
        <w:ind w:firstLine="643" w:firstLineChars="200"/>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b/>
          <w:bCs/>
          <w:kern w:val="0"/>
          <w:sz w:val="32"/>
          <w:szCs w:val="32"/>
          <w:lang w:val="en-US" w:eastAsia="zh-CN"/>
        </w:rPr>
        <w:t>（三）广州东西部劳务协作整体工作成效展示</w:t>
      </w:r>
    </w:p>
    <w:p>
      <w:pPr>
        <w:numPr>
          <w:ilvl w:val="0"/>
          <w:numId w:val="0"/>
        </w:numPr>
        <w:adjustRightInd w:val="0"/>
        <w:snapToGrid w:val="0"/>
        <w:spacing w:line="560" w:lineRule="exact"/>
        <w:ind w:firstLine="640" w:firstLineChars="200"/>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总结一年来广州东西部劳务协作重点工作的成效亮点，突出广州特有的创新政策，结合巩固脱贫成果、乡村振兴、高质量发展等主题，在经验总结中促进工作的持续优化，并通过广东省或广州市官方权威媒体的纸质媒体进行至少一个版面的宣传。</w:t>
      </w:r>
    </w:p>
    <w:p>
      <w:pPr>
        <w:spacing w:line="580" w:lineRule="exact"/>
        <w:ind w:firstLine="640" w:firstLineChars="200"/>
        <w:rPr>
          <w:rFonts w:hint="eastAsia" w:ascii="黑体" w:hAnsi="黑体" w:eastAsia="黑体"/>
          <w:color w:val="000000"/>
          <w:sz w:val="32"/>
          <w:szCs w:val="32"/>
          <w:highlight w:val="none"/>
        </w:rPr>
      </w:pPr>
      <w:r>
        <w:rPr>
          <w:rFonts w:hint="eastAsia" w:ascii="黑体" w:hAnsi="黑体" w:eastAsia="黑体"/>
          <w:color w:val="000000"/>
          <w:sz w:val="32"/>
          <w:szCs w:val="32"/>
          <w:highlight w:val="none"/>
        </w:rPr>
        <w:t>五、应标条件</w:t>
      </w:r>
    </w:p>
    <w:p>
      <w:pPr>
        <w:widowControl/>
        <w:spacing w:line="580" w:lineRule="exact"/>
        <w:ind w:firstLine="768" w:firstLineChars="240"/>
        <w:jc w:val="left"/>
        <w:rPr>
          <w:rFonts w:ascii="仿宋_GB2312" w:hAnsi="Arial" w:eastAsia="仿宋_GB2312" w:cs="Arial"/>
          <w:color w:val="000000"/>
          <w:kern w:val="0"/>
          <w:sz w:val="32"/>
          <w:szCs w:val="32"/>
          <w:highlight w:val="none"/>
        </w:rPr>
      </w:pPr>
      <w:r>
        <w:rPr>
          <w:rFonts w:hint="eastAsia" w:ascii="仿宋_GB2312" w:hAnsi="Arial" w:eastAsia="仿宋_GB2312" w:cs="Arial"/>
          <w:color w:val="000000"/>
          <w:kern w:val="0"/>
          <w:sz w:val="32"/>
          <w:szCs w:val="32"/>
          <w:highlight w:val="none"/>
        </w:rPr>
        <w:t>1</w:t>
      </w:r>
      <w:r>
        <w:rPr>
          <w:rFonts w:hint="eastAsia" w:ascii="仿宋_GB2312" w:hAnsi="Arial" w:eastAsia="仿宋_GB2312" w:cs="Arial"/>
          <w:color w:val="000000"/>
          <w:kern w:val="0"/>
          <w:sz w:val="32"/>
          <w:szCs w:val="32"/>
          <w:highlight w:val="none"/>
          <w:lang w:val="en-US" w:eastAsia="zh-CN"/>
        </w:rPr>
        <w:t>.</w:t>
      </w:r>
      <w:r>
        <w:rPr>
          <w:rFonts w:hint="eastAsia" w:ascii="仿宋_GB2312" w:hAnsi="Arial" w:eastAsia="仿宋_GB2312" w:cs="Arial"/>
          <w:color w:val="000000"/>
          <w:kern w:val="0"/>
          <w:sz w:val="32"/>
          <w:szCs w:val="32"/>
          <w:highlight w:val="none"/>
        </w:rPr>
        <w:t>投标人必须符合《中华人民共和国政府采购法》第二十二条规定,同时提供法人或者其他组织的营业执照、税务登记证和组织机构代码证，或三证合一的营业执照的证明文件。</w:t>
      </w:r>
    </w:p>
    <w:p>
      <w:pPr>
        <w:widowControl/>
        <w:spacing w:line="580" w:lineRule="exact"/>
        <w:ind w:firstLine="768" w:firstLineChars="240"/>
        <w:jc w:val="left"/>
        <w:rPr>
          <w:rFonts w:hint="eastAsia" w:ascii="仿宋_GB2312" w:hAnsi="Arial" w:eastAsia="仿宋_GB2312" w:cs="Arial"/>
          <w:color w:val="000000"/>
          <w:kern w:val="0"/>
          <w:sz w:val="32"/>
          <w:szCs w:val="32"/>
          <w:highlight w:val="none"/>
        </w:rPr>
      </w:pPr>
      <w:r>
        <w:rPr>
          <w:rFonts w:hint="eastAsia" w:ascii="仿宋_GB2312" w:hAnsi="Arial" w:eastAsia="仿宋_GB2312" w:cs="Arial"/>
          <w:color w:val="000000"/>
          <w:kern w:val="0"/>
          <w:sz w:val="32"/>
          <w:szCs w:val="32"/>
          <w:highlight w:val="none"/>
        </w:rPr>
        <w:t>2</w:t>
      </w:r>
      <w:r>
        <w:rPr>
          <w:rFonts w:hint="eastAsia" w:ascii="仿宋_GB2312" w:hAnsi="Arial" w:eastAsia="仿宋_GB2312" w:cs="Arial"/>
          <w:color w:val="000000"/>
          <w:kern w:val="0"/>
          <w:sz w:val="32"/>
          <w:szCs w:val="32"/>
          <w:highlight w:val="none"/>
          <w:lang w:val="en-US" w:eastAsia="zh-CN"/>
        </w:rPr>
        <w:t>.</w:t>
      </w:r>
      <w:r>
        <w:rPr>
          <w:rFonts w:hint="eastAsia" w:ascii="仿宋_GB2312" w:hAnsi="Arial" w:eastAsia="仿宋_GB2312" w:cs="Arial"/>
          <w:color w:val="000000"/>
          <w:kern w:val="0"/>
          <w:sz w:val="32"/>
          <w:szCs w:val="32"/>
          <w:highlight w:val="none"/>
        </w:rPr>
        <w:t>营业执照或相关登记证书中经营活动范围包含</w:t>
      </w:r>
      <w:r>
        <w:rPr>
          <w:rFonts w:hint="eastAsia" w:ascii="仿宋_GB2312" w:hAnsi="Arial" w:eastAsia="仿宋_GB2312" w:cs="Arial"/>
          <w:color w:val="000000"/>
          <w:kern w:val="0"/>
          <w:sz w:val="32"/>
          <w:szCs w:val="32"/>
          <w:highlight w:val="none"/>
          <w:lang w:eastAsia="zh-CN"/>
        </w:rPr>
        <w:t>宣传</w:t>
      </w:r>
      <w:r>
        <w:rPr>
          <w:rFonts w:hint="eastAsia" w:ascii="仿宋_GB2312" w:hAnsi="Arial" w:eastAsia="仿宋_GB2312" w:cs="Arial"/>
          <w:color w:val="000000"/>
          <w:kern w:val="0"/>
          <w:sz w:val="32"/>
          <w:szCs w:val="32"/>
          <w:highlight w:val="none"/>
        </w:rPr>
        <w:t>服务。</w:t>
      </w:r>
    </w:p>
    <w:p>
      <w:pPr>
        <w:spacing w:line="580" w:lineRule="exact"/>
        <w:ind w:firstLine="640" w:firstLineChars="200"/>
        <w:rPr>
          <w:rFonts w:ascii="黑体" w:hAnsi="宋体" w:eastAsia="黑体"/>
          <w:color w:val="000000"/>
          <w:sz w:val="32"/>
          <w:szCs w:val="32"/>
          <w:highlight w:val="none"/>
        </w:rPr>
      </w:pPr>
      <w:r>
        <w:rPr>
          <w:rFonts w:hint="eastAsia" w:ascii="黑体" w:hAnsi="黑体" w:eastAsia="黑体"/>
          <w:color w:val="000000"/>
          <w:sz w:val="32"/>
          <w:szCs w:val="32"/>
          <w:highlight w:val="none"/>
        </w:rPr>
        <w:t>六、付款方式</w:t>
      </w:r>
    </w:p>
    <w:p>
      <w:pPr>
        <w:spacing w:line="580" w:lineRule="exact"/>
        <w:ind w:firstLine="630" w:firstLineChars="196"/>
        <w:rPr>
          <w:rFonts w:ascii="楷体" w:hAnsi="楷体" w:eastAsia="楷体"/>
          <w:b/>
          <w:bCs/>
          <w:color w:val="000000"/>
          <w:sz w:val="32"/>
          <w:szCs w:val="32"/>
          <w:highlight w:val="none"/>
        </w:rPr>
      </w:pPr>
      <w:r>
        <w:rPr>
          <w:rFonts w:hint="eastAsia" w:ascii="楷体" w:hAnsi="楷体" w:eastAsia="楷体"/>
          <w:b/>
          <w:bCs/>
          <w:color w:val="000000"/>
          <w:sz w:val="32"/>
          <w:szCs w:val="32"/>
          <w:highlight w:val="none"/>
        </w:rPr>
        <w:t>（一）采购方按照中标金额向中标单位</w:t>
      </w:r>
      <w:r>
        <w:rPr>
          <w:rFonts w:hint="eastAsia" w:ascii="楷体" w:hAnsi="楷体" w:eastAsia="楷体"/>
          <w:b/>
          <w:bCs/>
          <w:color w:val="000000"/>
          <w:sz w:val="32"/>
          <w:szCs w:val="32"/>
          <w:highlight w:val="none"/>
          <w:lang w:eastAsia="zh-CN"/>
        </w:rPr>
        <w:t>分两期</w:t>
      </w:r>
      <w:r>
        <w:rPr>
          <w:rFonts w:hint="eastAsia" w:ascii="楷体" w:hAnsi="楷体" w:eastAsia="楷体"/>
          <w:b/>
          <w:bCs/>
          <w:color w:val="000000"/>
          <w:sz w:val="32"/>
          <w:szCs w:val="32"/>
          <w:highlight w:val="none"/>
        </w:rPr>
        <w:t>支付费用。</w:t>
      </w:r>
    </w:p>
    <w:p>
      <w:pPr>
        <w:spacing w:line="580" w:lineRule="exact"/>
        <w:ind w:firstLine="627" w:firstLineChars="196"/>
        <w:rPr>
          <w:rFonts w:hint="eastAsia" w:ascii="仿宋_GB2312" w:hAnsi="Calibri" w:eastAsia="仿宋_GB2312"/>
          <w:color w:val="000000"/>
          <w:sz w:val="32"/>
          <w:szCs w:val="32"/>
          <w:highlight w:val="none"/>
          <w:lang w:eastAsia="zh-CN"/>
        </w:rPr>
      </w:pPr>
      <w:r>
        <w:rPr>
          <w:rFonts w:hint="eastAsia" w:ascii="楷体" w:hAnsi="楷体" w:eastAsia="楷体"/>
          <w:color w:val="000000"/>
          <w:sz w:val="32"/>
          <w:szCs w:val="32"/>
          <w:highlight w:val="none"/>
        </w:rPr>
        <w:t>（</w:t>
      </w:r>
      <w:r>
        <w:rPr>
          <w:rFonts w:hint="eastAsia" w:ascii="楷体" w:hAnsi="楷体" w:eastAsia="楷体"/>
          <w:b/>
          <w:bCs/>
          <w:color w:val="000000"/>
          <w:sz w:val="32"/>
          <w:szCs w:val="32"/>
          <w:highlight w:val="none"/>
        </w:rPr>
        <w:t>二）</w:t>
      </w:r>
      <w:r>
        <w:rPr>
          <w:rFonts w:hint="eastAsia" w:ascii="楷体" w:hAnsi="楷体" w:eastAsia="楷体"/>
          <w:b/>
          <w:bCs/>
          <w:color w:val="000000"/>
          <w:sz w:val="32"/>
          <w:szCs w:val="32"/>
          <w:highlight w:val="none"/>
          <w:lang w:eastAsia="zh-CN"/>
        </w:rPr>
        <w:t>签订合同后采购方需支付合同金额的</w:t>
      </w:r>
      <w:r>
        <w:rPr>
          <w:rFonts w:hint="eastAsia" w:ascii="楷体" w:hAnsi="楷体" w:eastAsia="楷体"/>
          <w:b/>
          <w:bCs/>
          <w:color w:val="000000"/>
          <w:sz w:val="32"/>
          <w:szCs w:val="32"/>
          <w:highlight w:val="none"/>
          <w:lang w:val="en-US" w:eastAsia="zh-CN"/>
        </w:rPr>
        <w:t>80%作为项目启动款</w:t>
      </w:r>
      <w:r>
        <w:rPr>
          <w:rFonts w:hint="eastAsia" w:ascii="楷体" w:hAnsi="楷体" w:eastAsia="楷体"/>
          <w:b/>
          <w:bCs/>
          <w:color w:val="000000"/>
          <w:sz w:val="32"/>
          <w:szCs w:val="32"/>
          <w:highlight w:val="none"/>
        </w:rPr>
        <w:t>。</w:t>
      </w:r>
      <w:r>
        <w:rPr>
          <w:rFonts w:hint="eastAsia" w:ascii="仿宋_GB2312" w:hAnsi="Calibri" w:eastAsia="仿宋_GB2312"/>
          <w:color w:val="000000"/>
          <w:sz w:val="32"/>
          <w:szCs w:val="32"/>
          <w:highlight w:val="none"/>
        </w:rPr>
        <w:t>中标方</w:t>
      </w:r>
      <w:r>
        <w:rPr>
          <w:rFonts w:hint="eastAsia" w:ascii="仿宋_GB2312" w:hAnsi="Calibri" w:eastAsia="仿宋_GB2312"/>
          <w:color w:val="000000"/>
          <w:sz w:val="32"/>
          <w:szCs w:val="32"/>
          <w:highlight w:val="none"/>
          <w:lang w:eastAsia="zh-CN"/>
        </w:rPr>
        <w:t>需</w:t>
      </w:r>
      <w:r>
        <w:rPr>
          <w:rFonts w:hint="eastAsia" w:ascii="仿宋_GB2312" w:hAnsi="Calibri" w:eastAsia="仿宋_GB2312"/>
          <w:color w:val="000000"/>
          <w:sz w:val="32"/>
          <w:szCs w:val="32"/>
          <w:highlight w:val="none"/>
        </w:rPr>
        <w:t>提供正式发票</w:t>
      </w:r>
      <w:r>
        <w:rPr>
          <w:rFonts w:hint="eastAsia" w:ascii="仿宋_GB2312" w:hAnsi="Calibri" w:eastAsia="仿宋_GB2312"/>
          <w:color w:val="000000"/>
          <w:sz w:val="32"/>
          <w:szCs w:val="32"/>
          <w:highlight w:val="none"/>
          <w:lang w:eastAsia="zh-CN"/>
        </w:rPr>
        <w:t>。</w:t>
      </w:r>
    </w:p>
    <w:p>
      <w:pPr>
        <w:spacing w:line="580" w:lineRule="exact"/>
        <w:ind w:firstLine="630" w:firstLineChars="196"/>
        <w:rPr>
          <w:rFonts w:hint="eastAsia" w:ascii="仿宋_GB2312" w:hAnsi="Calibri" w:eastAsia="仿宋_GB2312"/>
          <w:color w:val="000000"/>
          <w:sz w:val="32"/>
          <w:szCs w:val="32"/>
          <w:highlight w:val="none"/>
        </w:rPr>
      </w:pPr>
      <w:r>
        <w:rPr>
          <w:rFonts w:hint="eastAsia" w:ascii="楷体" w:hAnsi="楷体" w:eastAsia="楷体"/>
          <w:b/>
          <w:bCs/>
          <w:color w:val="000000"/>
          <w:sz w:val="32"/>
          <w:szCs w:val="32"/>
          <w:highlight w:val="none"/>
        </w:rPr>
        <w:t>（三）中标单位</w:t>
      </w:r>
      <w:r>
        <w:rPr>
          <w:rFonts w:hint="eastAsia" w:ascii="楷体" w:hAnsi="楷体" w:eastAsia="楷体"/>
          <w:b/>
          <w:bCs/>
          <w:color w:val="000000"/>
          <w:sz w:val="32"/>
          <w:szCs w:val="32"/>
          <w:highlight w:val="none"/>
          <w:lang w:eastAsia="zh-CN"/>
        </w:rPr>
        <w:t>完成全部工作并通过采购方验收后，</w:t>
      </w:r>
      <w:r>
        <w:rPr>
          <w:rFonts w:hint="eastAsia" w:ascii="楷体" w:hAnsi="楷体" w:eastAsia="楷体"/>
          <w:b/>
          <w:bCs/>
          <w:color w:val="000000"/>
          <w:sz w:val="32"/>
          <w:szCs w:val="32"/>
          <w:highlight w:val="none"/>
        </w:rPr>
        <w:t>采购方</w:t>
      </w:r>
      <w:r>
        <w:rPr>
          <w:rFonts w:hint="eastAsia" w:ascii="楷体" w:hAnsi="楷体" w:eastAsia="楷体"/>
          <w:b/>
          <w:bCs/>
          <w:color w:val="000000"/>
          <w:sz w:val="32"/>
          <w:szCs w:val="32"/>
          <w:highlight w:val="none"/>
          <w:lang w:eastAsia="zh-CN"/>
        </w:rPr>
        <w:t>付剩余费用</w:t>
      </w:r>
      <w:r>
        <w:rPr>
          <w:rFonts w:hint="eastAsia" w:ascii="楷体" w:hAnsi="楷体" w:eastAsia="楷体"/>
          <w:b/>
          <w:bCs/>
          <w:color w:val="000000"/>
          <w:sz w:val="32"/>
          <w:szCs w:val="32"/>
          <w:highlight w:val="none"/>
        </w:rPr>
        <w:t>。</w:t>
      </w:r>
      <w:r>
        <w:rPr>
          <w:rFonts w:hint="eastAsia" w:ascii="仿宋_GB2312" w:hAnsi="Calibri" w:eastAsia="仿宋_GB2312"/>
          <w:color w:val="000000"/>
          <w:sz w:val="32"/>
          <w:szCs w:val="32"/>
          <w:highlight w:val="none"/>
        </w:rPr>
        <w:t>中标方</w:t>
      </w:r>
      <w:r>
        <w:rPr>
          <w:rFonts w:hint="eastAsia" w:ascii="仿宋_GB2312" w:hAnsi="Calibri" w:eastAsia="仿宋_GB2312"/>
          <w:color w:val="000000"/>
          <w:sz w:val="32"/>
          <w:szCs w:val="32"/>
          <w:highlight w:val="none"/>
          <w:lang w:eastAsia="zh-CN"/>
        </w:rPr>
        <w:t>需</w:t>
      </w:r>
      <w:r>
        <w:rPr>
          <w:rFonts w:hint="eastAsia" w:ascii="仿宋_GB2312" w:hAnsi="Calibri" w:eastAsia="仿宋_GB2312"/>
          <w:color w:val="000000"/>
          <w:sz w:val="32"/>
          <w:szCs w:val="32"/>
          <w:highlight w:val="none"/>
        </w:rPr>
        <w:t xml:space="preserve">提供正式发票。 </w:t>
      </w:r>
    </w:p>
    <w:p>
      <w:pPr>
        <w:spacing w:line="580" w:lineRule="exact"/>
        <w:ind w:firstLine="640" w:firstLineChars="200"/>
        <w:rPr>
          <w:rFonts w:hint="eastAsia" w:ascii="黑体" w:hAnsi="黑体" w:eastAsia="黑体" w:cs="Times New Roman"/>
          <w:color w:val="000000"/>
          <w:sz w:val="32"/>
          <w:szCs w:val="32"/>
          <w:highlight w:val="none"/>
          <w:lang w:eastAsia="zh-CN"/>
        </w:rPr>
      </w:pPr>
      <w:r>
        <w:rPr>
          <w:rFonts w:hint="eastAsia" w:ascii="黑体" w:hAnsi="黑体" w:eastAsia="黑体" w:cs="Times New Roman"/>
          <w:color w:val="000000"/>
          <w:sz w:val="32"/>
          <w:szCs w:val="32"/>
          <w:highlight w:val="none"/>
          <w:lang w:eastAsia="zh-CN"/>
        </w:rPr>
        <w:t>七、综合评分标准</w:t>
      </w:r>
    </w:p>
    <w:p>
      <w:pPr>
        <w:spacing w:line="580" w:lineRule="exact"/>
        <w:ind w:firstLine="627" w:firstLineChars="196"/>
        <w:rPr>
          <w:highlight w:val="none"/>
        </w:rPr>
      </w:pPr>
      <w:r>
        <w:rPr>
          <w:rFonts w:hint="eastAsia" w:ascii="仿宋_GB2312" w:hAnsi="宋体" w:eastAsia="仿宋_GB2312"/>
          <w:color w:val="000000"/>
          <w:sz w:val="32"/>
          <w:szCs w:val="32"/>
          <w:highlight w:val="none"/>
        </w:rPr>
        <w:t>本项目采用综合评分法的方式确认中标单位，评标准则为能够最大限度满足招标文件中规定的各项综合评价标准。评标小组由市场中心相关部门人员组成。</w:t>
      </w:r>
    </w:p>
    <w:tbl>
      <w:tblPr>
        <w:tblStyle w:val="4"/>
        <w:tblW w:w="0" w:type="auto"/>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19"/>
        <w:gridCol w:w="1071"/>
        <w:gridCol w:w="533"/>
        <w:gridCol w:w="6488"/>
        <w:gridCol w:w="7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8" w:hRule="atLeast"/>
        </w:trPr>
        <w:tc>
          <w:tcPr>
            <w:tcW w:w="319" w:type="dxa"/>
            <w:tcBorders>
              <w:top w:val="single" w:color="000000" w:sz="4" w:space="0"/>
              <w:left w:val="single" w:color="000000" w:sz="4" w:space="0"/>
              <w:bottom w:val="single" w:color="000000" w:sz="4" w:space="0"/>
              <w:right w:val="single" w:color="000000" w:sz="4" w:space="0"/>
            </w:tcBorders>
            <w:shd w:val="clear" w:color="auto" w:fill="EEECE1"/>
            <w:noWrap w:val="0"/>
            <w:tcMar>
              <w:top w:w="15" w:type="dxa"/>
              <w:left w:w="15" w:type="dxa"/>
              <w:bottom w:w="15" w:type="dxa"/>
              <w:right w:w="15" w:type="dxa"/>
            </w:tcMar>
            <w:vAlign w:val="center"/>
          </w:tcPr>
          <w:p>
            <w:pPr>
              <w:widowControl/>
              <w:jc w:val="center"/>
              <w:textAlignment w:val="center"/>
              <w:rPr>
                <w:rFonts w:hint="eastAsia" w:ascii="宋体" w:hAnsi="宋体" w:cs="宋体"/>
                <w:b/>
                <w:color w:val="000000"/>
                <w:kern w:val="2"/>
                <w:sz w:val="21"/>
                <w:szCs w:val="21"/>
                <w:highlight w:val="none"/>
              </w:rPr>
            </w:pPr>
            <w:r>
              <w:rPr>
                <w:rFonts w:hint="eastAsia" w:ascii="宋体" w:hAnsi="宋体" w:cs="宋体"/>
                <w:b/>
                <w:color w:val="000000"/>
                <w:kern w:val="2"/>
                <w:sz w:val="21"/>
                <w:szCs w:val="21"/>
                <w:highlight w:val="none"/>
                <w:lang w:bidi="ar"/>
              </w:rPr>
              <w:t>序号</w:t>
            </w:r>
          </w:p>
        </w:tc>
        <w:tc>
          <w:tcPr>
            <w:tcW w:w="1071" w:type="dxa"/>
            <w:tcBorders>
              <w:top w:val="single" w:color="000000" w:sz="4" w:space="0"/>
              <w:left w:val="single" w:color="000000" w:sz="4" w:space="0"/>
              <w:bottom w:val="single" w:color="000000" w:sz="4" w:space="0"/>
              <w:right w:val="single" w:color="000000" w:sz="4" w:space="0"/>
            </w:tcBorders>
            <w:shd w:val="clear" w:color="auto" w:fill="EEECE1"/>
            <w:noWrap w:val="0"/>
            <w:tcMar>
              <w:top w:w="15" w:type="dxa"/>
              <w:left w:w="15" w:type="dxa"/>
              <w:bottom w:w="15" w:type="dxa"/>
              <w:right w:w="15" w:type="dxa"/>
            </w:tcMar>
            <w:vAlign w:val="center"/>
          </w:tcPr>
          <w:p>
            <w:pPr>
              <w:widowControl/>
              <w:jc w:val="center"/>
              <w:textAlignment w:val="center"/>
              <w:rPr>
                <w:rFonts w:hint="eastAsia" w:ascii="宋体" w:hAnsi="宋体" w:cs="宋体"/>
                <w:b/>
                <w:color w:val="000000"/>
                <w:kern w:val="2"/>
                <w:sz w:val="21"/>
                <w:szCs w:val="21"/>
                <w:highlight w:val="none"/>
              </w:rPr>
            </w:pPr>
            <w:r>
              <w:rPr>
                <w:rFonts w:hint="eastAsia" w:ascii="宋体" w:hAnsi="宋体" w:cs="宋体"/>
                <w:b/>
                <w:color w:val="000000"/>
                <w:kern w:val="2"/>
                <w:sz w:val="21"/>
                <w:szCs w:val="21"/>
                <w:highlight w:val="none"/>
                <w:lang w:bidi="ar"/>
              </w:rPr>
              <w:t>评</w:t>
            </w:r>
            <w:r>
              <w:rPr>
                <w:rFonts w:hint="eastAsia" w:ascii="宋体" w:hAnsi="宋体" w:cs="宋体"/>
                <w:b/>
                <w:color w:val="000000"/>
                <w:kern w:val="2"/>
                <w:sz w:val="21"/>
                <w:szCs w:val="21"/>
                <w:highlight w:val="none"/>
                <w:lang w:eastAsia="zh-CN" w:bidi="ar"/>
              </w:rPr>
              <w:t>分</w:t>
            </w:r>
            <w:r>
              <w:rPr>
                <w:rFonts w:hint="eastAsia" w:ascii="宋体" w:hAnsi="宋体" w:cs="宋体"/>
                <w:b/>
                <w:color w:val="000000"/>
                <w:kern w:val="2"/>
                <w:sz w:val="21"/>
                <w:szCs w:val="21"/>
                <w:highlight w:val="none"/>
                <w:lang w:bidi="ar"/>
              </w:rPr>
              <w:t>项目</w:t>
            </w:r>
          </w:p>
        </w:tc>
        <w:tc>
          <w:tcPr>
            <w:tcW w:w="533" w:type="dxa"/>
            <w:tcBorders>
              <w:top w:val="single" w:color="000000" w:sz="4" w:space="0"/>
              <w:left w:val="single" w:color="000000" w:sz="4" w:space="0"/>
              <w:bottom w:val="single" w:color="000000" w:sz="4" w:space="0"/>
              <w:right w:val="single" w:color="000000" w:sz="4" w:space="0"/>
            </w:tcBorders>
            <w:shd w:val="clear" w:color="auto" w:fill="EEECE1"/>
            <w:noWrap w:val="0"/>
            <w:tcMar>
              <w:top w:w="15" w:type="dxa"/>
              <w:left w:w="15" w:type="dxa"/>
              <w:bottom w:w="15" w:type="dxa"/>
              <w:right w:w="15" w:type="dxa"/>
            </w:tcMar>
            <w:vAlign w:val="center"/>
          </w:tcPr>
          <w:p>
            <w:pPr>
              <w:widowControl/>
              <w:jc w:val="center"/>
              <w:textAlignment w:val="center"/>
              <w:rPr>
                <w:rFonts w:hint="eastAsia" w:ascii="宋体" w:hAnsi="宋体" w:cs="宋体"/>
                <w:b/>
                <w:color w:val="000000"/>
                <w:kern w:val="2"/>
                <w:sz w:val="21"/>
                <w:szCs w:val="21"/>
                <w:highlight w:val="none"/>
              </w:rPr>
            </w:pPr>
            <w:r>
              <w:rPr>
                <w:rFonts w:hint="eastAsia" w:ascii="宋体" w:hAnsi="宋体" w:cs="宋体"/>
                <w:b/>
                <w:color w:val="000000"/>
                <w:kern w:val="2"/>
                <w:sz w:val="21"/>
                <w:szCs w:val="21"/>
                <w:highlight w:val="none"/>
                <w:lang w:bidi="ar"/>
              </w:rPr>
              <w:t>分配分数</w:t>
            </w:r>
          </w:p>
        </w:tc>
        <w:tc>
          <w:tcPr>
            <w:tcW w:w="6488" w:type="dxa"/>
            <w:tcBorders>
              <w:top w:val="single" w:color="000000" w:sz="4" w:space="0"/>
              <w:left w:val="single" w:color="000000" w:sz="4" w:space="0"/>
              <w:right w:val="single" w:color="000000" w:sz="4" w:space="0"/>
            </w:tcBorders>
            <w:shd w:val="clear" w:color="auto" w:fill="EEECE1"/>
            <w:noWrap w:val="0"/>
            <w:tcMar>
              <w:top w:w="15" w:type="dxa"/>
              <w:left w:w="15" w:type="dxa"/>
              <w:bottom w:w="15" w:type="dxa"/>
              <w:right w:w="15" w:type="dxa"/>
            </w:tcMar>
            <w:vAlign w:val="center"/>
          </w:tcPr>
          <w:p>
            <w:pPr>
              <w:widowControl/>
              <w:jc w:val="center"/>
              <w:rPr>
                <w:rFonts w:hint="eastAsia" w:ascii="宋体" w:hAnsi="宋体" w:cs="宋体"/>
                <w:b/>
                <w:color w:val="000000"/>
                <w:kern w:val="2"/>
                <w:sz w:val="21"/>
                <w:szCs w:val="21"/>
                <w:highlight w:val="none"/>
              </w:rPr>
            </w:pPr>
            <w:r>
              <w:rPr>
                <w:rFonts w:hint="eastAsia" w:ascii="宋体" w:hAnsi="宋体" w:cs="宋体"/>
                <w:b/>
                <w:color w:val="000000"/>
                <w:kern w:val="2"/>
                <w:sz w:val="21"/>
                <w:szCs w:val="21"/>
                <w:highlight w:val="none"/>
                <w:lang w:bidi="ar"/>
              </w:rPr>
              <w:t>评</w:t>
            </w:r>
            <w:r>
              <w:rPr>
                <w:rFonts w:hint="eastAsia" w:ascii="宋体" w:hAnsi="宋体" w:cs="宋体"/>
                <w:b/>
                <w:color w:val="000000"/>
                <w:kern w:val="2"/>
                <w:sz w:val="21"/>
                <w:szCs w:val="21"/>
                <w:highlight w:val="none"/>
                <w:lang w:eastAsia="zh-CN" w:bidi="ar"/>
              </w:rPr>
              <w:t>分</w:t>
            </w:r>
            <w:r>
              <w:rPr>
                <w:rFonts w:hint="eastAsia" w:ascii="宋体" w:hAnsi="宋体" w:cs="宋体"/>
                <w:b/>
                <w:color w:val="000000"/>
                <w:kern w:val="2"/>
                <w:sz w:val="21"/>
                <w:szCs w:val="21"/>
                <w:highlight w:val="none"/>
                <w:lang w:bidi="ar"/>
              </w:rPr>
              <w:t>内容</w:t>
            </w:r>
          </w:p>
        </w:tc>
        <w:tc>
          <w:tcPr>
            <w:tcW w:w="708" w:type="dxa"/>
            <w:tcBorders>
              <w:top w:val="single" w:color="000000" w:sz="4" w:space="0"/>
              <w:left w:val="single" w:color="000000" w:sz="4" w:space="0"/>
              <w:bottom w:val="single" w:color="000000" w:sz="4" w:space="0"/>
              <w:right w:val="single" w:color="000000" w:sz="4" w:space="0"/>
            </w:tcBorders>
            <w:shd w:val="clear" w:color="auto" w:fill="EEECE1"/>
            <w:noWrap w:val="0"/>
            <w:tcMar>
              <w:top w:w="15" w:type="dxa"/>
              <w:left w:w="15" w:type="dxa"/>
              <w:bottom w:w="15" w:type="dxa"/>
              <w:right w:w="15" w:type="dxa"/>
            </w:tcMar>
            <w:vAlign w:val="center"/>
          </w:tcPr>
          <w:p>
            <w:pPr>
              <w:widowControl/>
              <w:jc w:val="center"/>
              <w:textAlignment w:val="center"/>
              <w:rPr>
                <w:rFonts w:hint="eastAsia" w:ascii="宋体" w:hAnsi="宋体" w:cs="宋体"/>
                <w:color w:val="000000"/>
                <w:kern w:val="2"/>
                <w:sz w:val="21"/>
                <w:szCs w:val="21"/>
                <w:highlight w:val="none"/>
              </w:rPr>
            </w:pPr>
            <w:r>
              <w:rPr>
                <w:rFonts w:hint="eastAsia" w:ascii="宋体" w:hAnsi="宋体" w:cs="宋体"/>
                <w:color w:val="000000"/>
                <w:kern w:val="2"/>
                <w:sz w:val="21"/>
                <w:szCs w:val="21"/>
                <w:highlight w:val="none"/>
                <w:lang w:bidi="ar"/>
              </w:rPr>
              <w:t>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5" w:hRule="atLeast"/>
        </w:trPr>
        <w:tc>
          <w:tcPr>
            <w:tcW w:w="319" w:type="dxa"/>
            <w:tcBorders>
              <w:top w:val="single" w:color="000000" w:sz="4" w:space="0"/>
              <w:left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2"/>
                <w:sz w:val="21"/>
                <w:szCs w:val="21"/>
                <w:highlight w:val="none"/>
              </w:rPr>
            </w:pPr>
            <w:r>
              <w:rPr>
                <w:rFonts w:hint="eastAsia" w:ascii="仿宋_GB2312" w:hAnsi="仿宋_GB2312" w:eastAsia="仿宋_GB2312" w:cs="仿宋_GB2312"/>
                <w:color w:val="000000"/>
                <w:kern w:val="2"/>
                <w:sz w:val="21"/>
                <w:szCs w:val="21"/>
                <w:highlight w:val="none"/>
                <w:lang w:bidi="ar"/>
              </w:rPr>
              <w:t>1</w:t>
            </w:r>
          </w:p>
        </w:tc>
        <w:tc>
          <w:tcPr>
            <w:tcW w:w="1071" w:type="dxa"/>
            <w:tcBorders>
              <w:top w:val="single" w:color="000000" w:sz="4" w:space="0"/>
              <w:left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2"/>
                <w:sz w:val="21"/>
                <w:szCs w:val="21"/>
                <w:highlight w:val="none"/>
              </w:rPr>
            </w:pPr>
            <w:r>
              <w:rPr>
                <w:rFonts w:hint="eastAsia" w:ascii="仿宋_GB2312" w:hAnsi="仿宋_GB2312" w:eastAsia="仿宋_GB2312" w:cs="仿宋_GB2312"/>
                <w:color w:val="000000"/>
                <w:sz w:val="21"/>
                <w:szCs w:val="21"/>
                <w:highlight w:val="none"/>
              </w:rPr>
              <w:t>用户需求响应情况</w:t>
            </w:r>
          </w:p>
        </w:tc>
        <w:tc>
          <w:tcPr>
            <w:tcW w:w="533" w:type="dxa"/>
            <w:tcBorders>
              <w:top w:val="single" w:color="000000" w:sz="4" w:space="0"/>
              <w:left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2"/>
                <w:sz w:val="21"/>
                <w:szCs w:val="21"/>
                <w:highlight w:val="none"/>
              </w:rPr>
            </w:pPr>
            <w:r>
              <w:rPr>
                <w:rFonts w:hint="eastAsia" w:ascii="仿宋_GB2312" w:hAnsi="仿宋_GB2312" w:eastAsia="仿宋_GB2312" w:cs="仿宋_GB2312"/>
                <w:color w:val="000000"/>
                <w:kern w:val="2"/>
                <w:sz w:val="21"/>
                <w:szCs w:val="21"/>
                <w:highlight w:val="none"/>
              </w:rPr>
              <w:t>10</w:t>
            </w:r>
          </w:p>
        </w:tc>
        <w:tc>
          <w:tcPr>
            <w:tcW w:w="6488" w:type="dxa"/>
            <w:tcBorders>
              <w:top w:val="single" w:color="000000" w:sz="4" w:space="0"/>
              <w:left w:val="single" w:color="000000" w:sz="4" w:space="0"/>
              <w:right w:val="single" w:color="000000" w:sz="4" w:space="0"/>
            </w:tcBorders>
            <w:noWrap w:val="0"/>
            <w:tcMar>
              <w:top w:w="15" w:type="dxa"/>
              <w:left w:w="15" w:type="dxa"/>
              <w:bottom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exact"/>
              <w:ind w:firstLine="0"/>
              <w:textAlignment w:val="auto"/>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根据各</w:t>
            </w:r>
            <w:r>
              <w:rPr>
                <w:rFonts w:hint="eastAsia" w:ascii="仿宋_GB2312" w:hAnsi="仿宋_GB2312" w:eastAsia="仿宋_GB2312" w:cs="仿宋_GB2312"/>
                <w:color w:val="000000"/>
                <w:sz w:val="21"/>
                <w:szCs w:val="21"/>
                <w:highlight w:val="none"/>
                <w:lang w:eastAsia="zh-CN"/>
              </w:rPr>
              <w:t>供应商</w:t>
            </w:r>
            <w:r>
              <w:rPr>
                <w:rFonts w:hint="eastAsia" w:ascii="仿宋_GB2312" w:hAnsi="仿宋_GB2312" w:eastAsia="仿宋_GB2312" w:cs="仿宋_GB2312"/>
                <w:color w:val="000000"/>
                <w:sz w:val="21"/>
                <w:szCs w:val="21"/>
                <w:highlight w:val="none"/>
              </w:rPr>
              <w:t>对用户需求书各项要求进行评审：</w:t>
            </w:r>
            <w:r>
              <w:rPr>
                <w:rFonts w:hint="eastAsia" w:ascii="仿宋_GB2312" w:hAnsi="仿宋_GB2312" w:eastAsia="仿宋_GB2312" w:cs="仿宋_GB2312"/>
                <w:color w:val="000000"/>
                <w:sz w:val="21"/>
                <w:szCs w:val="21"/>
                <w:highlight w:val="none"/>
              </w:rPr>
              <w:cr/>
            </w:r>
            <w:r>
              <w:rPr>
                <w:rFonts w:hint="eastAsia" w:ascii="仿宋_GB2312" w:hAnsi="仿宋_GB2312" w:eastAsia="仿宋_GB2312" w:cs="仿宋_GB2312"/>
                <w:color w:val="000000"/>
                <w:sz w:val="21"/>
                <w:szCs w:val="21"/>
                <w:highlight w:val="none"/>
              </w:rPr>
              <w:t>完全满足或优于</w:t>
            </w:r>
            <w:r>
              <w:rPr>
                <w:rFonts w:hint="eastAsia" w:ascii="仿宋_GB2312" w:hAnsi="仿宋_GB2312" w:eastAsia="仿宋_GB2312" w:cs="仿宋_GB2312"/>
                <w:color w:val="000000"/>
                <w:sz w:val="21"/>
                <w:szCs w:val="21"/>
                <w:highlight w:val="none"/>
                <w:lang w:eastAsia="zh-CN"/>
              </w:rPr>
              <w:t>采购</w:t>
            </w:r>
            <w:r>
              <w:rPr>
                <w:rFonts w:hint="eastAsia" w:ascii="仿宋_GB2312" w:hAnsi="仿宋_GB2312" w:eastAsia="仿宋_GB2312" w:cs="仿宋_GB2312"/>
                <w:color w:val="000000"/>
                <w:sz w:val="21"/>
                <w:szCs w:val="21"/>
                <w:highlight w:val="none"/>
              </w:rPr>
              <w:t>文件用户需求书各项要求的得</w:t>
            </w:r>
            <w:r>
              <w:rPr>
                <w:rFonts w:hint="eastAsia" w:ascii="仿宋_GB2312" w:hAnsi="仿宋_GB2312" w:eastAsia="仿宋_GB2312" w:cs="仿宋_GB2312"/>
                <w:color w:val="000000"/>
                <w:sz w:val="21"/>
                <w:szCs w:val="21"/>
                <w:highlight w:val="none"/>
                <w:lang w:val="en-US" w:eastAsia="zh-CN"/>
              </w:rPr>
              <w:t>10</w:t>
            </w:r>
            <w:r>
              <w:rPr>
                <w:rFonts w:hint="eastAsia" w:ascii="仿宋_GB2312" w:hAnsi="仿宋_GB2312" w:eastAsia="仿宋_GB2312" w:cs="仿宋_GB2312"/>
                <w:color w:val="000000"/>
                <w:sz w:val="21"/>
                <w:szCs w:val="21"/>
                <w:highlight w:val="none"/>
              </w:rPr>
              <w:t>分，每有一项负偏离或不响应的扣</w:t>
            </w:r>
            <w:r>
              <w:rPr>
                <w:rFonts w:hint="eastAsia" w:ascii="仿宋_GB2312" w:hAnsi="仿宋_GB2312" w:eastAsia="仿宋_GB2312" w:cs="仿宋_GB2312"/>
                <w:color w:val="000000"/>
                <w:sz w:val="21"/>
                <w:szCs w:val="21"/>
                <w:highlight w:val="none"/>
                <w:lang w:val="en-US" w:eastAsia="zh-CN"/>
              </w:rPr>
              <w:t>2</w:t>
            </w:r>
            <w:r>
              <w:rPr>
                <w:rFonts w:hint="eastAsia" w:ascii="仿宋_GB2312" w:hAnsi="仿宋_GB2312" w:eastAsia="仿宋_GB2312" w:cs="仿宋_GB2312"/>
                <w:color w:val="000000"/>
                <w:sz w:val="21"/>
                <w:szCs w:val="21"/>
                <w:highlight w:val="none"/>
              </w:rPr>
              <w:t>分。扣完为止。</w:t>
            </w:r>
          </w:p>
        </w:tc>
        <w:tc>
          <w:tcPr>
            <w:tcW w:w="708" w:type="dxa"/>
            <w:tcBorders>
              <w:top w:val="single" w:color="000000" w:sz="4" w:space="0"/>
              <w:left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kern w:val="2"/>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54" w:hRule="atLeast"/>
        </w:trPr>
        <w:tc>
          <w:tcPr>
            <w:tcW w:w="319"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2"/>
                <w:sz w:val="21"/>
                <w:szCs w:val="21"/>
                <w:highlight w:val="none"/>
                <w:lang w:bidi="ar"/>
              </w:rPr>
            </w:pPr>
            <w:r>
              <w:rPr>
                <w:rFonts w:hint="eastAsia" w:ascii="仿宋_GB2312" w:hAnsi="仿宋_GB2312" w:eastAsia="仿宋_GB2312" w:cs="仿宋_GB2312"/>
                <w:color w:val="000000"/>
                <w:kern w:val="2"/>
                <w:sz w:val="21"/>
                <w:szCs w:val="21"/>
                <w:highlight w:val="none"/>
                <w:lang w:bidi="ar"/>
              </w:rPr>
              <w:t>2</w:t>
            </w:r>
          </w:p>
        </w:tc>
        <w:tc>
          <w:tcPr>
            <w:tcW w:w="107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pStyle w:val="3"/>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总体</w:t>
            </w:r>
            <w:r>
              <w:rPr>
                <w:rFonts w:hint="eastAsia" w:ascii="仿宋_GB2312" w:hAnsi="仿宋_GB2312" w:eastAsia="仿宋_GB2312" w:cs="仿宋_GB2312"/>
                <w:color w:val="000000"/>
                <w:szCs w:val="21"/>
                <w:highlight w:val="none"/>
                <w:lang w:eastAsia="zh-CN"/>
              </w:rPr>
              <w:t>服务</w:t>
            </w:r>
            <w:r>
              <w:rPr>
                <w:rFonts w:hint="eastAsia" w:ascii="仿宋_GB2312" w:hAnsi="仿宋_GB2312" w:eastAsia="仿宋_GB2312" w:cs="仿宋_GB2312"/>
                <w:color w:val="000000"/>
                <w:szCs w:val="21"/>
                <w:highlight w:val="none"/>
              </w:rPr>
              <w:t>方案</w:t>
            </w:r>
          </w:p>
        </w:tc>
        <w:tc>
          <w:tcPr>
            <w:tcW w:w="53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lang w:val="en-US" w:eastAsia="zh-CN"/>
              </w:rPr>
              <w:t>3</w:t>
            </w:r>
            <w:r>
              <w:rPr>
                <w:rFonts w:hint="eastAsia" w:ascii="仿宋_GB2312" w:hAnsi="仿宋_GB2312" w:eastAsia="仿宋_GB2312" w:cs="仿宋_GB2312"/>
                <w:color w:val="000000"/>
                <w:sz w:val="21"/>
                <w:szCs w:val="21"/>
                <w:highlight w:val="none"/>
              </w:rPr>
              <w:t>0</w:t>
            </w:r>
          </w:p>
        </w:tc>
        <w:tc>
          <w:tcPr>
            <w:tcW w:w="648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根据</w:t>
            </w:r>
            <w:r>
              <w:rPr>
                <w:rFonts w:hint="eastAsia" w:ascii="仿宋_GB2312" w:hAnsi="仿宋_GB2312" w:eastAsia="仿宋_GB2312" w:cs="仿宋_GB2312"/>
                <w:color w:val="000000"/>
                <w:sz w:val="21"/>
                <w:szCs w:val="21"/>
                <w:highlight w:val="none"/>
                <w:lang w:eastAsia="zh-CN"/>
              </w:rPr>
              <w:t>供应商</w:t>
            </w:r>
            <w:r>
              <w:rPr>
                <w:rFonts w:hint="eastAsia" w:ascii="仿宋_GB2312" w:hAnsi="仿宋_GB2312" w:eastAsia="仿宋_GB2312" w:cs="仿宋_GB2312"/>
                <w:color w:val="000000"/>
                <w:sz w:val="21"/>
                <w:szCs w:val="21"/>
                <w:highlight w:val="none"/>
              </w:rPr>
              <w:t>总体</w:t>
            </w:r>
            <w:r>
              <w:rPr>
                <w:rFonts w:hint="eastAsia" w:ascii="仿宋_GB2312" w:hAnsi="仿宋_GB2312" w:eastAsia="仿宋_GB2312" w:cs="仿宋_GB2312"/>
                <w:color w:val="000000"/>
                <w:sz w:val="21"/>
                <w:szCs w:val="21"/>
                <w:highlight w:val="none"/>
                <w:lang w:eastAsia="zh-CN"/>
              </w:rPr>
              <w:t>服务</w:t>
            </w:r>
            <w:r>
              <w:rPr>
                <w:rFonts w:hint="eastAsia" w:ascii="仿宋_GB2312" w:hAnsi="仿宋_GB2312" w:eastAsia="仿宋_GB2312" w:cs="仿宋_GB2312"/>
                <w:color w:val="000000"/>
                <w:sz w:val="21"/>
                <w:szCs w:val="21"/>
                <w:highlight w:val="none"/>
              </w:rPr>
              <w:t>方案的完整性（包含但不限于设计、发布、投放、服务进度），服务实施方案的可行性，组织机构完善程度，服务流程制度完善合理情况进行评审：</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服务实施方案完整、可行，组织机构及服务流程制度完善、合理，得</w:t>
            </w:r>
            <w:r>
              <w:rPr>
                <w:rFonts w:hint="eastAsia" w:ascii="仿宋_GB2312" w:hAnsi="仿宋_GB2312" w:eastAsia="仿宋_GB2312" w:cs="仿宋_GB2312"/>
                <w:color w:val="000000"/>
                <w:sz w:val="21"/>
                <w:szCs w:val="21"/>
                <w:highlight w:val="none"/>
                <w:lang w:val="en-US" w:eastAsia="zh-CN"/>
              </w:rPr>
              <w:t>30</w:t>
            </w:r>
            <w:r>
              <w:rPr>
                <w:rFonts w:hint="eastAsia" w:ascii="仿宋_GB2312" w:hAnsi="仿宋_GB2312" w:eastAsia="仿宋_GB2312" w:cs="仿宋_GB2312"/>
                <w:color w:val="000000"/>
                <w:sz w:val="21"/>
                <w:szCs w:val="21"/>
                <w:highlight w:val="none"/>
              </w:rPr>
              <w:t xml:space="preserve">分； </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服务实施方案较完整、较可行，组织机构及服务流程制度较完善、合理，得</w:t>
            </w:r>
            <w:r>
              <w:rPr>
                <w:rFonts w:hint="eastAsia" w:ascii="仿宋_GB2312" w:hAnsi="仿宋_GB2312" w:eastAsia="仿宋_GB2312" w:cs="仿宋_GB2312"/>
                <w:color w:val="000000"/>
                <w:sz w:val="21"/>
                <w:szCs w:val="21"/>
                <w:highlight w:val="none"/>
                <w:lang w:val="en-US" w:eastAsia="zh-CN"/>
              </w:rPr>
              <w:t>20</w:t>
            </w:r>
            <w:r>
              <w:rPr>
                <w:rFonts w:hint="eastAsia" w:ascii="仿宋_GB2312" w:hAnsi="仿宋_GB2312" w:eastAsia="仿宋_GB2312" w:cs="仿宋_GB2312"/>
                <w:color w:val="000000"/>
                <w:sz w:val="21"/>
                <w:szCs w:val="21"/>
                <w:highlight w:val="none"/>
              </w:rPr>
              <w:t xml:space="preserve">分； </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服务实施方案不完整、不可行，组织机构及服务流程制度不完善、不合理，得</w:t>
            </w:r>
            <w:r>
              <w:rPr>
                <w:rFonts w:hint="eastAsia" w:ascii="仿宋_GB2312" w:hAnsi="仿宋_GB2312" w:eastAsia="仿宋_GB2312" w:cs="仿宋_GB2312"/>
                <w:color w:val="000000"/>
                <w:sz w:val="21"/>
                <w:szCs w:val="21"/>
                <w:highlight w:val="none"/>
                <w:lang w:val="en-US" w:eastAsia="zh-CN"/>
              </w:rPr>
              <w:t>10</w:t>
            </w:r>
            <w:r>
              <w:rPr>
                <w:rFonts w:hint="eastAsia" w:ascii="仿宋_GB2312" w:hAnsi="仿宋_GB2312" w:eastAsia="仿宋_GB2312" w:cs="仿宋_GB2312"/>
                <w:color w:val="000000"/>
                <w:sz w:val="21"/>
                <w:szCs w:val="21"/>
                <w:highlight w:val="none"/>
              </w:rPr>
              <w:t xml:space="preserve">分； </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没有提供相关资料的，不得分。</w:t>
            </w:r>
          </w:p>
        </w:tc>
        <w:tc>
          <w:tcPr>
            <w:tcW w:w="70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kern w:val="2"/>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54" w:hRule="atLeast"/>
        </w:trPr>
        <w:tc>
          <w:tcPr>
            <w:tcW w:w="319"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2"/>
                <w:sz w:val="21"/>
                <w:szCs w:val="21"/>
                <w:highlight w:val="none"/>
                <w:lang w:val="en-US" w:eastAsia="zh-CN" w:bidi="ar-SA"/>
              </w:rPr>
            </w:pPr>
            <w:r>
              <w:rPr>
                <w:rFonts w:hint="eastAsia" w:ascii="仿宋_GB2312" w:hAnsi="仿宋_GB2312" w:eastAsia="仿宋_GB2312" w:cs="仿宋_GB2312"/>
                <w:color w:val="000000"/>
                <w:kern w:val="2"/>
                <w:sz w:val="21"/>
                <w:szCs w:val="21"/>
                <w:highlight w:val="none"/>
                <w:lang w:val="en-US" w:eastAsia="zh-CN" w:bidi="ar"/>
              </w:rPr>
              <w:t>3</w:t>
            </w:r>
          </w:p>
        </w:tc>
        <w:tc>
          <w:tcPr>
            <w:tcW w:w="107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2"/>
                <w:sz w:val="21"/>
                <w:szCs w:val="21"/>
                <w:highlight w:val="none"/>
                <w:lang w:val="en-US" w:eastAsia="zh-CN" w:bidi="ar-SA"/>
              </w:rPr>
            </w:pPr>
            <w:r>
              <w:rPr>
                <w:rFonts w:hint="eastAsia" w:ascii="仿宋_GB2312" w:hAnsi="仿宋_GB2312" w:eastAsia="仿宋_GB2312" w:cs="仿宋_GB2312"/>
                <w:color w:val="000000"/>
                <w:kern w:val="2"/>
                <w:sz w:val="21"/>
                <w:szCs w:val="21"/>
                <w:highlight w:val="none"/>
              </w:rPr>
              <w:t>同类项目业绩</w:t>
            </w:r>
          </w:p>
        </w:tc>
        <w:tc>
          <w:tcPr>
            <w:tcW w:w="53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2"/>
                <w:sz w:val="21"/>
                <w:szCs w:val="21"/>
                <w:highlight w:val="none"/>
                <w:lang w:val="en-US" w:eastAsia="zh-CN" w:bidi="ar-SA"/>
              </w:rPr>
            </w:pPr>
            <w:r>
              <w:rPr>
                <w:rFonts w:hint="eastAsia" w:ascii="仿宋_GB2312" w:hAnsi="仿宋_GB2312" w:eastAsia="仿宋_GB2312" w:cs="仿宋_GB2312"/>
                <w:color w:val="000000"/>
                <w:kern w:val="2"/>
                <w:sz w:val="21"/>
                <w:szCs w:val="21"/>
                <w:highlight w:val="none"/>
              </w:rPr>
              <w:t>10</w:t>
            </w:r>
          </w:p>
        </w:tc>
        <w:tc>
          <w:tcPr>
            <w:tcW w:w="648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000000"/>
                <w:kern w:val="2"/>
                <w:sz w:val="21"/>
                <w:szCs w:val="21"/>
                <w:highlight w:val="none"/>
              </w:rPr>
            </w:pPr>
            <w:r>
              <w:rPr>
                <w:rFonts w:hint="eastAsia" w:ascii="仿宋_GB2312" w:hAnsi="仿宋_GB2312" w:eastAsia="仿宋_GB2312" w:cs="仿宋_GB2312"/>
                <w:color w:val="000000"/>
                <w:kern w:val="2"/>
                <w:sz w:val="21"/>
                <w:szCs w:val="21"/>
                <w:highlight w:val="none"/>
                <w:lang w:val="en-US" w:eastAsia="zh-CN"/>
              </w:rPr>
              <w:t>2019</w:t>
            </w:r>
            <w:r>
              <w:rPr>
                <w:rFonts w:hint="eastAsia" w:ascii="仿宋_GB2312" w:hAnsi="仿宋_GB2312" w:eastAsia="仿宋_GB2312" w:cs="仿宋_GB2312"/>
                <w:color w:val="000000"/>
                <w:kern w:val="2"/>
                <w:sz w:val="21"/>
                <w:szCs w:val="21"/>
                <w:highlight w:val="none"/>
              </w:rPr>
              <w:t xml:space="preserve"> 年 1 月 1 日以来，</w:t>
            </w:r>
            <w:r>
              <w:rPr>
                <w:rFonts w:hint="eastAsia" w:ascii="仿宋_GB2312" w:hAnsi="仿宋_GB2312" w:eastAsia="仿宋_GB2312" w:cs="仿宋_GB2312"/>
                <w:color w:val="000000"/>
                <w:kern w:val="2"/>
                <w:sz w:val="21"/>
                <w:szCs w:val="21"/>
                <w:highlight w:val="none"/>
                <w:lang w:eastAsia="zh-CN"/>
              </w:rPr>
              <w:t>供应商</w:t>
            </w:r>
            <w:r>
              <w:rPr>
                <w:rFonts w:hint="eastAsia" w:ascii="仿宋_GB2312" w:hAnsi="仿宋_GB2312" w:eastAsia="仿宋_GB2312" w:cs="仿宋_GB2312"/>
                <w:color w:val="000000"/>
                <w:kern w:val="2"/>
                <w:sz w:val="21"/>
                <w:szCs w:val="21"/>
                <w:highlight w:val="none"/>
              </w:rPr>
              <w:t>承担过</w:t>
            </w:r>
            <w:r>
              <w:rPr>
                <w:rFonts w:hint="eastAsia" w:ascii="仿宋_GB2312" w:hAnsi="仿宋_GB2312" w:eastAsia="仿宋_GB2312" w:cs="仿宋_GB2312"/>
                <w:color w:val="000000"/>
                <w:kern w:val="2"/>
                <w:sz w:val="21"/>
                <w:szCs w:val="21"/>
                <w:highlight w:val="none"/>
                <w:lang w:eastAsia="zh-CN"/>
              </w:rPr>
              <w:t>宣传策划类同类项目。</w:t>
            </w:r>
            <w:r>
              <w:rPr>
                <w:rFonts w:hint="eastAsia" w:ascii="仿宋_GB2312" w:hAnsi="仿宋_GB2312" w:eastAsia="仿宋_GB2312" w:cs="仿宋_GB2312"/>
                <w:color w:val="000000"/>
                <w:kern w:val="2"/>
                <w:sz w:val="21"/>
                <w:szCs w:val="21"/>
                <w:highlight w:val="none"/>
              </w:rPr>
              <w:t>每提供 1 份业绩得2 分，满分 10 分。</w:t>
            </w:r>
          </w:p>
          <w:p>
            <w:pPr>
              <w:pStyle w:val="2"/>
              <w:keepNext w:val="0"/>
              <w:keepLines w:val="0"/>
              <w:pageBreakBefore w:val="0"/>
              <w:kinsoku/>
              <w:wordWrap/>
              <w:overflowPunct/>
              <w:topLinePunct w:val="0"/>
              <w:autoSpaceDE/>
              <w:autoSpaceDN/>
              <w:bidi w:val="0"/>
              <w:adjustRightInd/>
              <w:snapToGrid/>
              <w:spacing w:line="360" w:lineRule="exact"/>
              <w:ind w:firstLine="0" w:firstLineChars="0"/>
              <w:textAlignment w:val="auto"/>
              <w:rPr>
                <w:rFonts w:hint="eastAsia" w:ascii="仿宋_GB2312" w:hAnsi="仿宋_GB2312" w:eastAsia="仿宋_GB2312" w:cs="仿宋_GB2312"/>
                <w:color w:val="000000"/>
                <w:kern w:val="2"/>
                <w:sz w:val="21"/>
                <w:szCs w:val="21"/>
                <w:highlight w:val="none"/>
                <w:lang w:val="en-US" w:eastAsia="zh-CN" w:bidi="ar-SA"/>
              </w:rPr>
            </w:pPr>
            <w:r>
              <w:rPr>
                <w:rFonts w:hint="eastAsia" w:ascii="仿宋_GB2312" w:hAnsi="仿宋_GB2312" w:eastAsia="仿宋_GB2312" w:cs="仿宋_GB2312"/>
                <w:b/>
                <w:bCs/>
                <w:color w:val="000000"/>
                <w:kern w:val="2"/>
                <w:sz w:val="21"/>
                <w:szCs w:val="24"/>
                <w:highlight w:val="none"/>
              </w:rPr>
              <w:t>注：需提供合同关键页复印件，时间以合同签订时间为准，未按要求提供不得分。</w:t>
            </w:r>
          </w:p>
        </w:tc>
        <w:tc>
          <w:tcPr>
            <w:tcW w:w="70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kern w:val="2"/>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54" w:hRule="atLeast"/>
        </w:trPr>
        <w:tc>
          <w:tcPr>
            <w:tcW w:w="319"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2"/>
                <w:sz w:val="21"/>
                <w:szCs w:val="21"/>
                <w:highlight w:val="none"/>
                <w:lang w:val="en-US" w:eastAsia="zh-CN" w:bidi="ar"/>
              </w:rPr>
            </w:pPr>
            <w:r>
              <w:rPr>
                <w:rFonts w:hint="eastAsia" w:ascii="仿宋_GB2312" w:hAnsi="仿宋_GB2312" w:eastAsia="仿宋_GB2312" w:cs="仿宋_GB2312"/>
                <w:color w:val="000000"/>
                <w:kern w:val="2"/>
                <w:sz w:val="21"/>
                <w:szCs w:val="21"/>
                <w:highlight w:val="none"/>
                <w:lang w:val="en-US" w:eastAsia="zh-CN" w:bidi="ar"/>
              </w:rPr>
              <w:t>4</w:t>
            </w:r>
          </w:p>
        </w:tc>
        <w:tc>
          <w:tcPr>
            <w:tcW w:w="1071" w:type="dxa"/>
            <w:vMerge w:val="restart"/>
            <w:tcBorders>
              <w:top w:val="single" w:color="auto" w:sz="4" w:space="0"/>
              <w:left w:val="single" w:color="auto" w:sz="4" w:space="0"/>
              <w:right w:val="single" w:color="auto" w:sz="4" w:space="0"/>
            </w:tcBorders>
            <w:noWrap w:val="0"/>
            <w:tcMar>
              <w:top w:w="15" w:type="dxa"/>
              <w:left w:w="15" w:type="dxa"/>
              <w:bottom w:w="15" w:type="dxa"/>
              <w:right w:w="15" w:type="dxa"/>
            </w:tcMar>
            <w:vAlign w:val="center"/>
          </w:tcPr>
          <w:p>
            <w:pPr>
              <w:pStyle w:val="3"/>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2"/>
                <w:sz w:val="21"/>
                <w:szCs w:val="21"/>
                <w:highlight w:val="none"/>
                <w:lang w:val="en-US" w:eastAsia="zh-CN" w:bidi="ar-SA"/>
              </w:rPr>
            </w:pPr>
            <w:r>
              <w:rPr>
                <w:rFonts w:hint="eastAsia" w:ascii="仿宋_GB2312" w:hAnsi="仿宋_GB2312" w:eastAsia="仿宋_GB2312" w:cs="仿宋_GB2312"/>
                <w:color w:val="000000"/>
                <w:szCs w:val="21"/>
                <w:highlight w:val="none"/>
              </w:rPr>
              <w:t>报纸发行情况</w:t>
            </w:r>
          </w:p>
        </w:tc>
        <w:tc>
          <w:tcPr>
            <w:tcW w:w="53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2"/>
                <w:sz w:val="21"/>
                <w:szCs w:val="21"/>
                <w:highlight w:val="none"/>
                <w:lang w:val="en-US" w:eastAsia="zh-CN" w:bidi="ar-SA"/>
              </w:rPr>
            </w:pPr>
            <w:r>
              <w:rPr>
                <w:rFonts w:hint="eastAsia" w:ascii="仿宋_GB2312" w:hAnsi="仿宋_GB2312" w:eastAsia="仿宋_GB2312" w:cs="仿宋_GB2312"/>
                <w:color w:val="000000"/>
                <w:sz w:val="21"/>
                <w:szCs w:val="21"/>
                <w:highlight w:val="none"/>
                <w:lang w:val="en-US" w:eastAsia="zh-CN"/>
              </w:rPr>
              <w:t>5</w:t>
            </w:r>
          </w:p>
        </w:tc>
        <w:tc>
          <w:tcPr>
            <w:tcW w:w="648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报纸发行范围：</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覆盖全国的，得</w:t>
            </w:r>
            <w:r>
              <w:rPr>
                <w:rFonts w:hint="eastAsia" w:ascii="仿宋_GB2312" w:hAnsi="仿宋_GB2312" w:eastAsia="仿宋_GB2312" w:cs="仿宋_GB2312"/>
                <w:color w:val="000000"/>
                <w:sz w:val="21"/>
                <w:szCs w:val="21"/>
                <w:highlight w:val="none"/>
                <w:lang w:val="en-US" w:eastAsia="zh-CN"/>
              </w:rPr>
              <w:t>5</w:t>
            </w:r>
            <w:r>
              <w:rPr>
                <w:rFonts w:hint="eastAsia" w:ascii="仿宋_GB2312" w:hAnsi="仿宋_GB2312" w:eastAsia="仿宋_GB2312" w:cs="仿宋_GB2312"/>
                <w:color w:val="000000"/>
                <w:sz w:val="21"/>
                <w:szCs w:val="21"/>
                <w:highlight w:val="none"/>
              </w:rPr>
              <w:t>分；</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覆盖广东省的，得3分；</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覆盖珠三角的，得1分。</w:t>
            </w:r>
          </w:p>
          <w:p>
            <w:pPr>
              <w:pStyle w:val="2"/>
              <w:keepNext w:val="0"/>
              <w:keepLines w:val="0"/>
              <w:pageBreakBefore w:val="0"/>
              <w:kinsoku/>
              <w:wordWrap/>
              <w:overflowPunct/>
              <w:topLinePunct w:val="0"/>
              <w:autoSpaceDE/>
              <w:autoSpaceDN/>
              <w:bidi w:val="0"/>
              <w:adjustRightInd/>
              <w:snapToGrid/>
              <w:spacing w:line="360" w:lineRule="exact"/>
              <w:ind w:firstLine="0" w:firstLineChars="0"/>
              <w:textAlignment w:val="auto"/>
              <w:rPr>
                <w:rFonts w:hint="eastAsia" w:ascii="仿宋_GB2312" w:hAnsi="仿宋_GB2312" w:eastAsia="仿宋_GB2312" w:cs="仿宋_GB2312"/>
                <w:b/>
                <w:color w:val="000000"/>
                <w:kern w:val="2"/>
                <w:sz w:val="21"/>
                <w:szCs w:val="21"/>
                <w:highlight w:val="none"/>
                <w:lang w:val="en-US" w:eastAsia="zh-CN" w:bidi="ar-SA"/>
              </w:rPr>
            </w:pPr>
            <w:r>
              <w:rPr>
                <w:rFonts w:hint="eastAsia" w:ascii="仿宋_GB2312" w:hAnsi="仿宋_GB2312" w:eastAsia="仿宋_GB2312" w:cs="仿宋_GB2312"/>
                <w:b/>
                <w:color w:val="000000"/>
                <w:sz w:val="21"/>
                <w:szCs w:val="21"/>
                <w:highlight w:val="none"/>
              </w:rPr>
              <w:t>注：</w:t>
            </w:r>
            <w:r>
              <w:rPr>
                <w:rFonts w:hint="eastAsia" w:ascii="仿宋_GB2312" w:hAnsi="仿宋_GB2312" w:eastAsia="仿宋_GB2312" w:cs="仿宋_GB2312"/>
                <w:b/>
                <w:color w:val="000000"/>
                <w:sz w:val="21"/>
                <w:szCs w:val="21"/>
                <w:highlight w:val="none"/>
                <w:lang w:eastAsia="zh-CN"/>
              </w:rPr>
              <w:t>供应商</w:t>
            </w:r>
            <w:r>
              <w:rPr>
                <w:rFonts w:hint="eastAsia" w:ascii="仿宋_GB2312" w:hAnsi="仿宋_GB2312" w:eastAsia="仿宋_GB2312" w:cs="仿宋_GB2312"/>
                <w:b/>
                <w:color w:val="000000"/>
                <w:sz w:val="21"/>
                <w:szCs w:val="21"/>
                <w:highlight w:val="none"/>
              </w:rPr>
              <w:t>提供相关证明文件。</w:t>
            </w:r>
          </w:p>
        </w:tc>
        <w:tc>
          <w:tcPr>
            <w:tcW w:w="70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kern w:val="2"/>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54" w:hRule="atLeast"/>
        </w:trPr>
        <w:tc>
          <w:tcPr>
            <w:tcW w:w="31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2"/>
                <w:sz w:val="21"/>
                <w:szCs w:val="21"/>
                <w:highlight w:val="none"/>
                <w:lang w:val="en-US" w:eastAsia="zh-CN" w:bidi="ar"/>
              </w:rPr>
            </w:pPr>
            <w:r>
              <w:rPr>
                <w:rFonts w:hint="eastAsia" w:ascii="仿宋_GB2312" w:hAnsi="仿宋_GB2312" w:eastAsia="仿宋_GB2312" w:cs="仿宋_GB2312"/>
                <w:color w:val="000000"/>
                <w:kern w:val="2"/>
                <w:sz w:val="21"/>
                <w:szCs w:val="21"/>
                <w:highlight w:val="none"/>
                <w:lang w:val="en-US" w:eastAsia="zh-CN" w:bidi="ar"/>
              </w:rPr>
              <w:t>5</w:t>
            </w:r>
          </w:p>
        </w:tc>
        <w:tc>
          <w:tcPr>
            <w:tcW w:w="1071" w:type="dxa"/>
            <w:vMerge w:val="continue"/>
            <w:tcBorders>
              <w:left w:val="single" w:color="auto" w:sz="4" w:space="0"/>
              <w:right w:val="single" w:color="auto" w:sz="4" w:space="0"/>
            </w:tcBorders>
            <w:noWrap w:val="0"/>
            <w:vAlign w:val="top"/>
          </w:tcPr>
          <w:p>
            <w:pPr>
              <w:pStyle w:val="3"/>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Cs w:val="21"/>
                <w:highlight w:val="none"/>
              </w:rPr>
            </w:pPr>
          </w:p>
        </w:tc>
        <w:tc>
          <w:tcPr>
            <w:tcW w:w="533"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2"/>
                <w:sz w:val="21"/>
                <w:szCs w:val="21"/>
                <w:highlight w:val="none"/>
                <w:lang w:val="en-US" w:eastAsia="zh-CN" w:bidi="ar-SA"/>
              </w:rPr>
            </w:pPr>
            <w:r>
              <w:rPr>
                <w:rFonts w:hint="eastAsia" w:ascii="仿宋_GB2312" w:hAnsi="仿宋_GB2312" w:eastAsia="仿宋_GB2312" w:cs="仿宋_GB2312"/>
                <w:color w:val="000000"/>
                <w:sz w:val="21"/>
                <w:szCs w:val="21"/>
                <w:highlight w:val="none"/>
                <w:lang w:val="en-US" w:eastAsia="zh-CN"/>
              </w:rPr>
              <w:t>5</w:t>
            </w:r>
          </w:p>
        </w:tc>
        <w:tc>
          <w:tcPr>
            <w:tcW w:w="6488" w:type="dxa"/>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报纸发行周期：</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每日发行的, 得</w:t>
            </w:r>
            <w:r>
              <w:rPr>
                <w:rFonts w:hint="eastAsia" w:ascii="仿宋_GB2312" w:hAnsi="仿宋_GB2312" w:eastAsia="仿宋_GB2312" w:cs="仿宋_GB2312"/>
                <w:color w:val="000000"/>
                <w:sz w:val="21"/>
                <w:szCs w:val="21"/>
                <w:highlight w:val="none"/>
                <w:lang w:val="en-US" w:eastAsia="zh-CN"/>
              </w:rPr>
              <w:t>5</w:t>
            </w:r>
            <w:r>
              <w:rPr>
                <w:rFonts w:hint="eastAsia" w:ascii="仿宋_GB2312" w:hAnsi="仿宋_GB2312" w:eastAsia="仿宋_GB2312" w:cs="仿宋_GB2312"/>
                <w:color w:val="000000"/>
                <w:sz w:val="21"/>
                <w:szCs w:val="21"/>
                <w:highlight w:val="none"/>
              </w:rPr>
              <w:t>分；</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每周发行</w:t>
            </w:r>
            <w:r>
              <w:rPr>
                <w:rFonts w:hint="eastAsia" w:ascii="仿宋_GB2312" w:hAnsi="仿宋_GB2312" w:eastAsia="仿宋_GB2312" w:cs="仿宋_GB2312"/>
                <w:color w:val="000000"/>
                <w:sz w:val="21"/>
                <w:szCs w:val="21"/>
                <w:highlight w:val="none"/>
                <w:lang w:val="en-US" w:eastAsia="zh-CN"/>
              </w:rPr>
              <w:t>3-6</w:t>
            </w:r>
            <w:r>
              <w:rPr>
                <w:rFonts w:hint="eastAsia" w:ascii="仿宋_GB2312" w:hAnsi="仿宋_GB2312" w:eastAsia="仿宋_GB2312" w:cs="仿宋_GB2312"/>
                <w:color w:val="000000"/>
                <w:sz w:val="21"/>
                <w:szCs w:val="21"/>
                <w:highlight w:val="none"/>
              </w:rPr>
              <w:t>期的，得3分；</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每周发行</w:t>
            </w:r>
            <w:r>
              <w:rPr>
                <w:rFonts w:hint="eastAsia" w:ascii="仿宋_GB2312" w:hAnsi="仿宋_GB2312" w:eastAsia="仿宋_GB2312" w:cs="仿宋_GB2312"/>
                <w:color w:val="000000"/>
                <w:sz w:val="21"/>
                <w:szCs w:val="21"/>
                <w:highlight w:val="none"/>
                <w:lang w:val="en-US" w:eastAsia="zh-CN"/>
              </w:rPr>
              <w:t>1-2</w:t>
            </w:r>
            <w:r>
              <w:rPr>
                <w:rFonts w:hint="eastAsia" w:ascii="仿宋_GB2312" w:hAnsi="仿宋_GB2312" w:eastAsia="仿宋_GB2312" w:cs="仿宋_GB2312"/>
                <w:color w:val="000000"/>
                <w:sz w:val="21"/>
                <w:szCs w:val="21"/>
                <w:highlight w:val="none"/>
              </w:rPr>
              <w:t>期的，得1分。</w:t>
            </w:r>
          </w:p>
          <w:p>
            <w:pPr>
              <w:pStyle w:val="2"/>
              <w:keepNext w:val="0"/>
              <w:keepLines w:val="0"/>
              <w:pageBreakBefore w:val="0"/>
              <w:kinsoku/>
              <w:wordWrap/>
              <w:overflowPunct/>
              <w:topLinePunct w:val="0"/>
              <w:autoSpaceDE/>
              <w:autoSpaceDN/>
              <w:bidi w:val="0"/>
              <w:adjustRightInd/>
              <w:snapToGrid/>
              <w:spacing w:line="360" w:lineRule="exact"/>
              <w:ind w:firstLine="0" w:firstLineChars="0"/>
              <w:textAlignment w:val="auto"/>
              <w:rPr>
                <w:rFonts w:hint="eastAsia" w:ascii="仿宋_GB2312" w:hAnsi="仿宋_GB2312" w:eastAsia="仿宋_GB2312" w:cs="仿宋_GB2312"/>
                <w:b/>
                <w:color w:val="000000"/>
                <w:kern w:val="2"/>
                <w:sz w:val="21"/>
                <w:szCs w:val="21"/>
                <w:highlight w:val="none"/>
                <w:lang w:val="en-US" w:eastAsia="zh-CN" w:bidi="ar-SA"/>
              </w:rPr>
            </w:pPr>
            <w:r>
              <w:rPr>
                <w:rFonts w:hint="eastAsia" w:ascii="仿宋_GB2312" w:hAnsi="仿宋_GB2312" w:eastAsia="仿宋_GB2312" w:cs="仿宋_GB2312"/>
                <w:b/>
                <w:color w:val="000000"/>
                <w:sz w:val="21"/>
                <w:szCs w:val="21"/>
                <w:highlight w:val="none"/>
              </w:rPr>
              <w:t>注：</w:t>
            </w:r>
            <w:r>
              <w:rPr>
                <w:rFonts w:hint="eastAsia" w:ascii="仿宋_GB2312" w:hAnsi="仿宋_GB2312" w:eastAsia="仿宋_GB2312" w:cs="仿宋_GB2312"/>
                <w:b/>
                <w:color w:val="000000"/>
                <w:sz w:val="21"/>
                <w:szCs w:val="21"/>
                <w:highlight w:val="none"/>
                <w:lang w:eastAsia="zh-CN"/>
              </w:rPr>
              <w:t>供应商</w:t>
            </w:r>
            <w:r>
              <w:rPr>
                <w:rFonts w:hint="eastAsia" w:ascii="仿宋_GB2312" w:hAnsi="仿宋_GB2312" w:eastAsia="仿宋_GB2312" w:cs="仿宋_GB2312"/>
                <w:b/>
                <w:color w:val="000000"/>
                <w:sz w:val="21"/>
                <w:szCs w:val="21"/>
                <w:highlight w:val="none"/>
              </w:rPr>
              <w:t>提供相关证明文件。</w:t>
            </w:r>
          </w:p>
        </w:tc>
        <w:tc>
          <w:tcPr>
            <w:tcW w:w="70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kern w:val="2"/>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54" w:hRule="atLeast"/>
        </w:trPr>
        <w:tc>
          <w:tcPr>
            <w:tcW w:w="31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2"/>
                <w:sz w:val="21"/>
                <w:szCs w:val="21"/>
                <w:highlight w:val="none"/>
                <w:lang w:val="en-US" w:eastAsia="zh-CN" w:bidi="ar"/>
              </w:rPr>
            </w:pPr>
            <w:r>
              <w:rPr>
                <w:rFonts w:hint="eastAsia" w:ascii="仿宋_GB2312" w:hAnsi="仿宋_GB2312" w:eastAsia="仿宋_GB2312" w:cs="仿宋_GB2312"/>
                <w:color w:val="000000"/>
                <w:kern w:val="2"/>
                <w:sz w:val="21"/>
                <w:szCs w:val="21"/>
                <w:highlight w:val="none"/>
                <w:lang w:val="en-US" w:eastAsia="zh-CN" w:bidi="ar"/>
              </w:rPr>
              <w:t>6</w:t>
            </w:r>
          </w:p>
        </w:tc>
        <w:tc>
          <w:tcPr>
            <w:tcW w:w="1071" w:type="dxa"/>
            <w:vMerge w:val="continue"/>
            <w:tcBorders>
              <w:left w:val="single" w:color="auto" w:sz="4" w:space="0"/>
              <w:right w:val="single" w:color="auto" w:sz="4" w:space="0"/>
            </w:tcBorders>
            <w:noWrap w:val="0"/>
            <w:vAlign w:val="top"/>
          </w:tcPr>
          <w:p>
            <w:pPr>
              <w:pStyle w:val="3"/>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Cs w:val="21"/>
                <w:highlight w:val="none"/>
              </w:rPr>
            </w:pPr>
          </w:p>
        </w:tc>
        <w:tc>
          <w:tcPr>
            <w:tcW w:w="533"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2"/>
                <w:sz w:val="21"/>
                <w:szCs w:val="21"/>
                <w:highlight w:val="none"/>
                <w:lang w:val="en-US" w:eastAsia="zh-CN" w:bidi="ar-SA"/>
              </w:rPr>
            </w:pPr>
            <w:r>
              <w:rPr>
                <w:rFonts w:hint="eastAsia" w:ascii="仿宋_GB2312" w:hAnsi="仿宋_GB2312" w:eastAsia="仿宋_GB2312" w:cs="仿宋_GB2312"/>
                <w:color w:val="000000"/>
                <w:sz w:val="21"/>
                <w:szCs w:val="21"/>
                <w:highlight w:val="none"/>
                <w:lang w:val="en-US" w:eastAsia="zh-CN"/>
              </w:rPr>
              <w:t>5</w:t>
            </w:r>
          </w:p>
        </w:tc>
        <w:tc>
          <w:tcPr>
            <w:tcW w:w="6488" w:type="dxa"/>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报纸日发行量：</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70万份以上（含），得</w:t>
            </w:r>
            <w:r>
              <w:rPr>
                <w:rFonts w:hint="eastAsia" w:ascii="仿宋_GB2312" w:hAnsi="仿宋_GB2312" w:eastAsia="仿宋_GB2312" w:cs="仿宋_GB2312"/>
                <w:color w:val="000000"/>
                <w:sz w:val="21"/>
                <w:szCs w:val="21"/>
                <w:highlight w:val="none"/>
                <w:lang w:val="en-US" w:eastAsia="zh-CN"/>
              </w:rPr>
              <w:t>5</w:t>
            </w:r>
            <w:r>
              <w:rPr>
                <w:rFonts w:hint="eastAsia" w:ascii="仿宋_GB2312" w:hAnsi="仿宋_GB2312" w:eastAsia="仿宋_GB2312" w:cs="仿宋_GB2312"/>
                <w:color w:val="000000"/>
                <w:sz w:val="21"/>
                <w:szCs w:val="21"/>
                <w:highlight w:val="none"/>
              </w:rPr>
              <w:t>分；</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50万份以上（含），70万份以下的，得3分；</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20万份以上（含），50万份以下的，得1分。</w:t>
            </w:r>
          </w:p>
          <w:p>
            <w:pPr>
              <w:pStyle w:val="2"/>
              <w:keepNext w:val="0"/>
              <w:keepLines w:val="0"/>
              <w:pageBreakBefore w:val="0"/>
              <w:kinsoku/>
              <w:wordWrap/>
              <w:overflowPunct/>
              <w:topLinePunct w:val="0"/>
              <w:autoSpaceDE/>
              <w:autoSpaceDN/>
              <w:bidi w:val="0"/>
              <w:adjustRightInd/>
              <w:snapToGrid/>
              <w:spacing w:line="360" w:lineRule="exact"/>
              <w:ind w:firstLine="0" w:firstLineChars="0"/>
              <w:textAlignment w:val="auto"/>
              <w:rPr>
                <w:rFonts w:hint="eastAsia" w:ascii="仿宋_GB2312" w:hAnsi="仿宋_GB2312" w:eastAsia="仿宋_GB2312" w:cs="仿宋_GB2312"/>
                <w:b/>
                <w:color w:val="000000"/>
                <w:kern w:val="2"/>
                <w:sz w:val="21"/>
                <w:szCs w:val="21"/>
                <w:highlight w:val="none"/>
                <w:lang w:val="en-US" w:eastAsia="zh-CN" w:bidi="ar-SA"/>
              </w:rPr>
            </w:pPr>
            <w:r>
              <w:rPr>
                <w:rFonts w:hint="eastAsia" w:ascii="仿宋_GB2312" w:hAnsi="仿宋_GB2312" w:eastAsia="仿宋_GB2312" w:cs="仿宋_GB2312"/>
                <w:b/>
                <w:color w:val="000000"/>
                <w:sz w:val="21"/>
                <w:szCs w:val="21"/>
                <w:highlight w:val="none"/>
              </w:rPr>
              <w:t>注：</w:t>
            </w:r>
            <w:r>
              <w:rPr>
                <w:rFonts w:hint="eastAsia" w:ascii="仿宋_GB2312" w:hAnsi="仿宋_GB2312" w:eastAsia="仿宋_GB2312" w:cs="仿宋_GB2312"/>
                <w:b/>
                <w:color w:val="000000"/>
                <w:sz w:val="21"/>
                <w:szCs w:val="21"/>
                <w:highlight w:val="none"/>
                <w:lang w:eastAsia="zh-CN"/>
              </w:rPr>
              <w:t>供应商</w:t>
            </w:r>
            <w:r>
              <w:rPr>
                <w:rFonts w:hint="eastAsia" w:ascii="仿宋_GB2312" w:hAnsi="仿宋_GB2312" w:eastAsia="仿宋_GB2312" w:cs="仿宋_GB2312"/>
                <w:b/>
                <w:color w:val="000000"/>
                <w:sz w:val="21"/>
                <w:szCs w:val="21"/>
                <w:highlight w:val="none"/>
              </w:rPr>
              <w:t>提供相关证明文件。</w:t>
            </w:r>
          </w:p>
        </w:tc>
        <w:tc>
          <w:tcPr>
            <w:tcW w:w="70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kern w:val="2"/>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54" w:hRule="atLeast"/>
        </w:trPr>
        <w:tc>
          <w:tcPr>
            <w:tcW w:w="31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2"/>
                <w:sz w:val="21"/>
                <w:szCs w:val="21"/>
                <w:highlight w:val="none"/>
                <w:lang w:val="en-US" w:eastAsia="zh-CN" w:bidi="ar"/>
              </w:rPr>
            </w:pPr>
            <w:r>
              <w:rPr>
                <w:rFonts w:hint="eastAsia" w:ascii="仿宋_GB2312" w:hAnsi="仿宋_GB2312" w:eastAsia="仿宋_GB2312" w:cs="仿宋_GB2312"/>
                <w:color w:val="000000"/>
                <w:kern w:val="2"/>
                <w:sz w:val="21"/>
                <w:szCs w:val="21"/>
                <w:highlight w:val="none"/>
                <w:lang w:val="en-US" w:eastAsia="zh-CN" w:bidi="ar"/>
              </w:rPr>
              <w:t>7</w:t>
            </w:r>
          </w:p>
        </w:tc>
        <w:tc>
          <w:tcPr>
            <w:tcW w:w="1071" w:type="dxa"/>
            <w:noWrap w:val="0"/>
            <w:vAlign w:val="center"/>
          </w:tcPr>
          <w:p>
            <w:pPr>
              <w:pStyle w:val="3"/>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2"/>
                <w:sz w:val="21"/>
                <w:szCs w:val="21"/>
                <w:highlight w:val="none"/>
                <w:lang w:val="en-US" w:eastAsia="zh-CN" w:bidi="ar-SA"/>
              </w:rPr>
            </w:pPr>
            <w:r>
              <w:rPr>
                <w:rFonts w:hint="eastAsia" w:ascii="仿宋_GB2312" w:hAnsi="仿宋_GB2312" w:eastAsia="仿宋_GB2312" w:cs="仿宋_GB2312"/>
                <w:color w:val="000000"/>
                <w:szCs w:val="21"/>
                <w:highlight w:val="none"/>
                <w:lang w:eastAsia="zh-CN"/>
              </w:rPr>
              <w:t>新媒体</w:t>
            </w:r>
            <w:r>
              <w:rPr>
                <w:rFonts w:hint="eastAsia" w:ascii="仿宋_GB2312" w:hAnsi="仿宋_GB2312" w:eastAsia="仿宋_GB2312" w:cs="仿宋_GB2312"/>
                <w:color w:val="000000"/>
                <w:szCs w:val="21"/>
                <w:highlight w:val="none"/>
              </w:rPr>
              <w:t>客户端下载量</w:t>
            </w:r>
          </w:p>
        </w:tc>
        <w:tc>
          <w:tcPr>
            <w:tcW w:w="533"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2"/>
                <w:sz w:val="21"/>
                <w:szCs w:val="21"/>
                <w:highlight w:val="none"/>
                <w:lang w:val="en-US" w:eastAsia="zh-CN" w:bidi="ar-SA"/>
              </w:rPr>
            </w:pPr>
            <w:r>
              <w:rPr>
                <w:rFonts w:hint="eastAsia" w:ascii="仿宋_GB2312" w:hAnsi="仿宋_GB2312" w:eastAsia="仿宋_GB2312" w:cs="仿宋_GB2312"/>
                <w:color w:val="000000"/>
                <w:sz w:val="21"/>
                <w:szCs w:val="21"/>
                <w:highlight w:val="none"/>
                <w:lang w:val="en-US" w:eastAsia="zh-CN"/>
              </w:rPr>
              <w:t>15</w:t>
            </w:r>
          </w:p>
        </w:tc>
        <w:tc>
          <w:tcPr>
            <w:tcW w:w="6488" w:type="dxa"/>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highlight w:val="none"/>
              </w:rPr>
            </w:pPr>
            <w:r>
              <w:rPr>
                <w:rFonts w:hint="eastAsia" w:ascii="仿宋_GB2312" w:hAnsi="仿宋_GB2312" w:eastAsia="仿宋_GB2312" w:cs="仿宋_GB2312"/>
                <w:highlight w:val="none"/>
              </w:rPr>
              <w:t>拟发布信息客户端下载量（截止至202</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rPr>
              <w:t>年</w:t>
            </w:r>
            <w:r>
              <w:rPr>
                <w:rFonts w:hint="eastAsia" w:ascii="仿宋_GB2312" w:hAnsi="仿宋_GB2312" w:eastAsia="仿宋_GB2312" w:cs="仿宋_GB2312"/>
                <w:highlight w:val="none"/>
                <w:lang w:val="en-US" w:eastAsia="zh-CN"/>
              </w:rPr>
              <w:t>12</w:t>
            </w:r>
            <w:r>
              <w:rPr>
                <w:rFonts w:hint="eastAsia" w:ascii="仿宋_GB2312" w:hAnsi="仿宋_GB2312" w:eastAsia="仿宋_GB2312" w:cs="仿宋_GB2312"/>
                <w:highlight w:val="none"/>
              </w:rPr>
              <w:t>月，</w:t>
            </w:r>
            <w:r>
              <w:rPr>
                <w:rFonts w:hint="eastAsia" w:ascii="仿宋_GB2312" w:hAnsi="仿宋_GB2312" w:eastAsia="仿宋_GB2312" w:cs="仿宋_GB2312"/>
                <w:highlight w:val="none"/>
                <w:lang w:eastAsia="zh-CN"/>
              </w:rPr>
              <w:t>供应商</w:t>
            </w:r>
            <w:r>
              <w:rPr>
                <w:rFonts w:hint="eastAsia" w:ascii="仿宋_GB2312" w:hAnsi="仿宋_GB2312" w:eastAsia="仿宋_GB2312" w:cs="仿宋_GB2312"/>
                <w:highlight w:val="none"/>
              </w:rPr>
              <w:t>提供数据来源证明文件）：</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8</w:t>
            </w:r>
            <w:r>
              <w:rPr>
                <w:rFonts w:hint="eastAsia" w:ascii="仿宋_GB2312" w:hAnsi="仿宋_GB2312" w:eastAsia="仿宋_GB2312" w:cs="仿宋_GB2312"/>
                <w:highlight w:val="none"/>
              </w:rPr>
              <w:t>000万以上的，得</w:t>
            </w:r>
            <w:r>
              <w:rPr>
                <w:rFonts w:hint="eastAsia" w:ascii="仿宋_GB2312" w:hAnsi="仿宋_GB2312" w:eastAsia="仿宋_GB2312" w:cs="仿宋_GB2312"/>
                <w:highlight w:val="none"/>
                <w:lang w:val="en-US" w:eastAsia="zh-CN"/>
              </w:rPr>
              <w:t>15</w:t>
            </w:r>
            <w:r>
              <w:rPr>
                <w:rFonts w:hint="eastAsia" w:ascii="仿宋_GB2312" w:hAnsi="仿宋_GB2312" w:eastAsia="仿宋_GB2312" w:cs="仿宋_GB2312"/>
                <w:highlight w:val="none"/>
              </w:rPr>
              <w:t>分；</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5</w:t>
            </w:r>
            <w:r>
              <w:rPr>
                <w:rFonts w:hint="eastAsia" w:ascii="仿宋_GB2312" w:hAnsi="仿宋_GB2312" w:eastAsia="仿宋_GB2312" w:cs="仿宋_GB2312"/>
                <w:highlight w:val="none"/>
              </w:rPr>
              <w:t>000万以上，</w:t>
            </w:r>
            <w:r>
              <w:rPr>
                <w:rFonts w:hint="eastAsia" w:ascii="仿宋_GB2312" w:hAnsi="仿宋_GB2312" w:eastAsia="仿宋_GB2312" w:cs="仿宋_GB2312"/>
                <w:highlight w:val="none"/>
                <w:lang w:val="en-US" w:eastAsia="zh-CN"/>
              </w:rPr>
              <w:t>8</w:t>
            </w:r>
            <w:r>
              <w:rPr>
                <w:rFonts w:hint="eastAsia" w:ascii="仿宋_GB2312" w:hAnsi="仿宋_GB2312" w:eastAsia="仿宋_GB2312" w:cs="仿宋_GB2312"/>
                <w:highlight w:val="none"/>
              </w:rPr>
              <w:t>000万以下的，得</w:t>
            </w:r>
            <w:r>
              <w:rPr>
                <w:rFonts w:hint="eastAsia" w:ascii="仿宋_GB2312" w:hAnsi="仿宋_GB2312" w:eastAsia="仿宋_GB2312" w:cs="仿宋_GB2312"/>
                <w:highlight w:val="none"/>
                <w:lang w:val="en-US" w:eastAsia="zh-CN"/>
              </w:rPr>
              <w:t>10</w:t>
            </w:r>
            <w:r>
              <w:rPr>
                <w:rFonts w:hint="eastAsia" w:ascii="仿宋_GB2312" w:hAnsi="仿宋_GB2312" w:eastAsia="仿宋_GB2312" w:cs="仿宋_GB2312"/>
                <w:highlight w:val="none"/>
              </w:rPr>
              <w:t>分；</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rPr>
              <w:t>000万以下的，得</w:t>
            </w:r>
            <w:r>
              <w:rPr>
                <w:rFonts w:hint="eastAsia" w:ascii="仿宋_GB2312" w:hAnsi="仿宋_GB2312" w:eastAsia="仿宋_GB2312" w:cs="仿宋_GB2312"/>
                <w:highlight w:val="none"/>
                <w:lang w:val="en-US" w:eastAsia="zh-CN"/>
              </w:rPr>
              <w:t>5</w:t>
            </w:r>
            <w:r>
              <w:rPr>
                <w:rFonts w:hint="eastAsia" w:ascii="仿宋_GB2312" w:hAnsi="仿宋_GB2312" w:eastAsia="仿宋_GB2312" w:cs="仿宋_GB2312"/>
                <w:highlight w:val="none"/>
              </w:rPr>
              <w:t>分。</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kern w:val="2"/>
                <w:sz w:val="21"/>
                <w:szCs w:val="24"/>
                <w:highlight w:val="none"/>
                <w:lang w:val="en-US" w:eastAsia="zh-CN" w:bidi="ar-SA"/>
              </w:rPr>
            </w:pPr>
            <w:r>
              <w:rPr>
                <w:rFonts w:hint="eastAsia" w:ascii="仿宋_GB2312" w:hAnsi="仿宋_GB2312" w:eastAsia="仿宋_GB2312" w:cs="仿宋_GB2312"/>
                <w:color w:val="000000"/>
                <w:sz w:val="21"/>
                <w:szCs w:val="21"/>
                <w:highlight w:val="none"/>
                <w:lang w:eastAsia="zh-CN"/>
              </w:rPr>
              <w:t>不能提供新媒体客户端宣传服务的，得</w:t>
            </w:r>
            <w:r>
              <w:rPr>
                <w:rFonts w:hint="eastAsia" w:ascii="仿宋_GB2312" w:hAnsi="仿宋_GB2312" w:eastAsia="仿宋_GB2312" w:cs="仿宋_GB2312"/>
                <w:color w:val="000000"/>
                <w:sz w:val="21"/>
                <w:szCs w:val="21"/>
                <w:highlight w:val="none"/>
                <w:lang w:val="en-US" w:eastAsia="zh-CN"/>
              </w:rPr>
              <w:t>0分</w:t>
            </w:r>
          </w:p>
        </w:tc>
        <w:tc>
          <w:tcPr>
            <w:tcW w:w="70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kern w:val="2"/>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74" w:hRule="atLeast"/>
        </w:trPr>
        <w:tc>
          <w:tcPr>
            <w:tcW w:w="31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2"/>
                <w:sz w:val="21"/>
                <w:szCs w:val="21"/>
                <w:highlight w:val="none"/>
                <w:lang w:val="en-US" w:eastAsia="zh-CN" w:bidi="ar"/>
              </w:rPr>
            </w:pPr>
            <w:r>
              <w:rPr>
                <w:rFonts w:hint="eastAsia" w:ascii="仿宋_GB2312" w:hAnsi="仿宋_GB2312" w:eastAsia="仿宋_GB2312" w:cs="仿宋_GB2312"/>
                <w:color w:val="000000"/>
                <w:kern w:val="2"/>
                <w:sz w:val="21"/>
                <w:szCs w:val="21"/>
                <w:highlight w:val="none"/>
                <w:lang w:val="en-US" w:eastAsia="zh-CN" w:bidi="ar"/>
              </w:rPr>
              <w:t>8</w:t>
            </w:r>
          </w:p>
        </w:tc>
        <w:tc>
          <w:tcPr>
            <w:tcW w:w="1071" w:type="dxa"/>
            <w:noWrap w:val="0"/>
            <w:vAlign w:val="center"/>
          </w:tcPr>
          <w:p>
            <w:pPr>
              <w:pStyle w:val="3"/>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Cs w:val="21"/>
                <w:highlight w:val="none"/>
                <w:lang w:eastAsia="zh-CN"/>
              </w:rPr>
            </w:pPr>
            <w:r>
              <w:rPr>
                <w:rFonts w:hint="eastAsia" w:ascii="仿宋_GB2312" w:hAnsi="仿宋_GB2312" w:eastAsia="仿宋_GB2312" w:cs="仿宋_GB2312"/>
                <w:color w:val="000000"/>
                <w:szCs w:val="21"/>
                <w:highlight w:val="none"/>
                <w:lang w:eastAsia="zh-CN"/>
              </w:rPr>
              <w:t>报价</w:t>
            </w:r>
          </w:p>
        </w:tc>
        <w:tc>
          <w:tcPr>
            <w:tcW w:w="533"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1"/>
                <w:szCs w:val="21"/>
                <w:highlight w:val="none"/>
                <w:lang w:val="en-US" w:eastAsia="zh-CN"/>
              </w:rPr>
            </w:pPr>
            <w:r>
              <w:rPr>
                <w:rFonts w:hint="eastAsia" w:ascii="仿宋_GB2312" w:hAnsi="仿宋_GB2312" w:eastAsia="仿宋_GB2312" w:cs="仿宋_GB2312"/>
                <w:color w:val="000000"/>
                <w:sz w:val="21"/>
                <w:szCs w:val="21"/>
                <w:highlight w:val="none"/>
                <w:lang w:val="en-US" w:eastAsia="zh-CN"/>
              </w:rPr>
              <w:t>20</w:t>
            </w:r>
          </w:p>
        </w:tc>
        <w:tc>
          <w:tcPr>
            <w:tcW w:w="6488" w:type="dxa"/>
            <w:noWrap w:val="0"/>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firstLine="0" w:firstLineChars="0"/>
              <w:textAlignment w:val="auto"/>
              <w:rPr>
                <w:rFonts w:hint="eastAsia" w:ascii="仿宋_GB2312" w:hAnsi="仿宋_GB2312" w:eastAsia="仿宋_GB2312" w:cs="仿宋_GB2312"/>
                <w:color w:val="000000"/>
                <w:kern w:val="2"/>
                <w:sz w:val="21"/>
                <w:szCs w:val="21"/>
                <w:highlight w:val="none"/>
                <w:lang w:val="en-US" w:eastAsia="zh-CN" w:bidi="ar-SA"/>
              </w:rPr>
            </w:pPr>
            <w:r>
              <w:rPr>
                <w:rFonts w:hint="eastAsia" w:ascii="仿宋_GB2312" w:hAnsi="仿宋_GB2312" w:eastAsia="仿宋_GB2312" w:cs="仿宋_GB2312"/>
                <w:color w:val="000000"/>
                <w:kern w:val="2"/>
                <w:sz w:val="21"/>
                <w:szCs w:val="21"/>
                <w:highlight w:val="none"/>
                <w:lang w:val="en-US" w:eastAsia="zh-CN" w:bidi="ar-SA"/>
              </w:rPr>
              <w:t>投标报价得分＝（评标基准价/投标报价）×价格分值【注：满足招标文件要求且投标价格最低的投标报价为评标基准价。】最低报价不是中标的唯一依据。因落实政府采购政策进行价格调整的，以调整后的价格计算评标基准价和投标报价。</w:t>
            </w:r>
          </w:p>
        </w:tc>
        <w:tc>
          <w:tcPr>
            <w:tcW w:w="70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kern w:val="2"/>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54" w:hRule="atLeast"/>
        </w:trPr>
        <w:tc>
          <w:tcPr>
            <w:tcW w:w="1390" w:type="dxa"/>
            <w:gridSpan w:val="2"/>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2"/>
                <w:sz w:val="21"/>
                <w:szCs w:val="21"/>
                <w:highlight w:val="none"/>
                <w:lang w:val="en-US" w:eastAsia="zh-CN" w:bidi="ar-SA"/>
              </w:rPr>
            </w:pPr>
            <w:r>
              <w:rPr>
                <w:rFonts w:hint="eastAsia" w:ascii="仿宋_GB2312" w:hAnsi="仿宋_GB2312" w:eastAsia="仿宋_GB2312" w:cs="仿宋_GB2312"/>
                <w:color w:val="000000"/>
                <w:kern w:val="2"/>
                <w:sz w:val="21"/>
                <w:szCs w:val="21"/>
                <w:highlight w:val="none"/>
                <w:lang w:bidi="ar"/>
              </w:rPr>
              <w:t>合计</w:t>
            </w:r>
          </w:p>
        </w:tc>
        <w:tc>
          <w:tcPr>
            <w:tcW w:w="53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2"/>
                <w:sz w:val="21"/>
                <w:szCs w:val="21"/>
                <w:highlight w:val="none"/>
                <w:lang w:val="en-US" w:eastAsia="zh-CN" w:bidi="ar-SA"/>
              </w:rPr>
            </w:pPr>
            <w:r>
              <w:rPr>
                <w:rFonts w:hint="eastAsia" w:ascii="仿宋_GB2312" w:hAnsi="仿宋_GB2312" w:eastAsia="仿宋_GB2312" w:cs="仿宋_GB2312"/>
                <w:color w:val="000000"/>
                <w:kern w:val="2"/>
                <w:sz w:val="21"/>
                <w:szCs w:val="21"/>
                <w:highlight w:val="none"/>
                <w:lang w:val="en-US" w:eastAsia="zh-CN" w:bidi="ar-SA"/>
              </w:rPr>
              <w:t>100</w:t>
            </w:r>
          </w:p>
        </w:tc>
        <w:tc>
          <w:tcPr>
            <w:tcW w:w="648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2"/>
                <w:sz w:val="21"/>
                <w:szCs w:val="21"/>
                <w:highlight w:val="none"/>
                <w:lang w:val="en-US" w:eastAsia="zh-CN" w:bidi="ar-SA"/>
              </w:rPr>
            </w:pPr>
            <w:r>
              <w:rPr>
                <w:rFonts w:hint="eastAsia" w:ascii="仿宋_GB2312" w:hAnsi="仿宋_GB2312" w:eastAsia="仿宋_GB2312" w:cs="仿宋_GB2312"/>
                <w:color w:val="000000"/>
                <w:kern w:val="2"/>
                <w:sz w:val="21"/>
                <w:szCs w:val="21"/>
                <w:highlight w:val="none"/>
                <w:lang w:bidi="ar"/>
              </w:rPr>
              <w:t>得分总计</w:t>
            </w:r>
          </w:p>
        </w:tc>
        <w:tc>
          <w:tcPr>
            <w:tcW w:w="70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kern w:val="2"/>
                <w:sz w:val="21"/>
                <w:szCs w:val="21"/>
                <w:highlight w:val="none"/>
                <w:lang w:val="en-US" w:eastAsia="zh-CN" w:bidi="ar-SA"/>
              </w:rPr>
            </w:pPr>
          </w:p>
        </w:tc>
      </w:tr>
    </w:tbl>
    <w:p>
      <w:pPr>
        <w:pStyle w:val="2"/>
        <w:ind w:firstLine="0"/>
        <w:rPr>
          <w:color w:val="000000"/>
          <w:highlight w:val="none"/>
        </w:rPr>
      </w:pPr>
    </w:p>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bCs/>
          <w:color w:val="000000"/>
          <w:sz w:val="21"/>
          <w:szCs w:val="21"/>
          <w:highlight w:val="none"/>
        </w:rPr>
      </w:pPr>
      <w:r>
        <w:rPr>
          <w:rFonts w:hint="eastAsia" w:ascii="仿宋_GB2312" w:hAnsi="仿宋_GB2312" w:eastAsia="仿宋_GB2312" w:cs="仿宋_GB2312"/>
          <w:b/>
          <w:bCs w:val="0"/>
          <w:color w:val="000000"/>
          <w:sz w:val="21"/>
          <w:szCs w:val="21"/>
          <w:highlight w:val="none"/>
        </w:rPr>
        <w:t>备注</w:t>
      </w:r>
      <w:r>
        <w:rPr>
          <w:rFonts w:hint="eastAsia" w:ascii="仿宋_GB2312" w:hAnsi="仿宋_GB2312" w:eastAsia="仿宋_GB2312" w:cs="仿宋_GB2312"/>
          <w:bCs/>
          <w:color w:val="000000"/>
          <w:sz w:val="21"/>
          <w:szCs w:val="21"/>
          <w:highlight w:val="none"/>
        </w:rPr>
        <w:t>：招标文件要求提交的与评价指标体系相关的各类有效资料，</w:t>
      </w:r>
      <w:r>
        <w:rPr>
          <w:rFonts w:hint="eastAsia" w:ascii="仿宋_GB2312" w:hAnsi="仿宋_GB2312" w:eastAsia="仿宋_GB2312" w:cs="仿宋_GB2312"/>
          <w:bCs/>
          <w:color w:val="000000"/>
          <w:sz w:val="21"/>
          <w:szCs w:val="21"/>
          <w:highlight w:val="none"/>
          <w:lang w:eastAsia="zh-CN"/>
        </w:rPr>
        <w:t>供应商</w:t>
      </w:r>
      <w:r>
        <w:rPr>
          <w:rFonts w:hint="eastAsia" w:ascii="仿宋_GB2312" w:hAnsi="仿宋_GB2312" w:eastAsia="仿宋_GB2312" w:cs="仿宋_GB2312"/>
          <w:bCs/>
          <w:color w:val="000000"/>
          <w:sz w:val="21"/>
          <w:szCs w:val="21"/>
          <w:highlight w:val="none"/>
        </w:rPr>
        <w:t>如未按要求提交的，该项评分为零分。</w:t>
      </w:r>
    </w:p>
    <w:p>
      <w:pPr>
        <w:spacing w:line="580" w:lineRule="exact"/>
        <w:ind w:firstLine="420" w:firstLineChars="200"/>
        <w:rPr>
          <w:rFonts w:ascii="黑体" w:hAnsi="宋体" w:eastAsia="黑体"/>
          <w:color w:val="000000"/>
          <w:sz w:val="32"/>
          <w:szCs w:val="32"/>
          <w:highlight w:val="none"/>
        </w:rPr>
      </w:pPr>
      <w:r>
        <w:rPr>
          <w:color w:val="000000"/>
          <w:highlight w:val="none"/>
        </w:rPr>
        <w:br w:type="page"/>
      </w:r>
      <w:r>
        <w:rPr>
          <w:rFonts w:hint="eastAsia" w:ascii="黑体" w:hAnsi="黑体" w:eastAsia="黑体"/>
          <w:color w:val="000000"/>
          <w:sz w:val="32"/>
          <w:szCs w:val="32"/>
          <w:highlight w:val="none"/>
          <w:lang w:eastAsia="zh-CN"/>
        </w:rPr>
        <w:t>八</w:t>
      </w:r>
      <w:r>
        <w:rPr>
          <w:rFonts w:hint="eastAsia" w:ascii="黑体" w:hAnsi="黑体" w:eastAsia="黑体"/>
          <w:color w:val="000000"/>
          <w:sz w:val="32"/>
          <w:szCs w:val="32"/>
          <w:highlight w:val="none"/>
        </w:rPr>
        <w:t>、退出机制</w:t>
      </w:r>
    </w:p>
    <w:p>
      <w:pPr>
        <w:spacing w:line="580" w:lineRule="exact"/>
        <w:ind w:firstLine="480" w:firstLineChars="150"/>
        <w:rPr>
          <w:rFonts w:ascii="仿宋_GB2312" w:hAnsi="华文仿宋" w:eastAsia="仿宋_GB2312"/>
          <w:color w:val="000000"/>
          <w:sz w:val="32"/>
          <w:szCs w:val="32"/>
          <w:highlight w:val="none"/>
        </w:rPr>
      </w:pPr>
      <w:r>
        <w:rPr>
          <w:rFonts w:hint="eastAsia" w:ascii="仿宋_GB2312" w:hAnsi="华文仿宋" w:eastAsia="仿宋_GB2312"/>
          <w:color w:val="000000"/>
          <w:sz w:val="32"/>
          <w:szCs w:val="32"/>
          <w:highlight w:val="none"/>
        </w:rPr>
        <w:t>中标单位出现下列行为之一时，</w:t>
      </w:r>
      <w:r>
        <w:rPr>
          <w:rFonts w:hint="eastAsia" w:ascii="仿宋_GB2312" w:hAnsi="宋体" w:eastAsia="仿宋_GB2312"/>
          <w:color w:val="000000"/>
          <w:sz w:val="32"/>
          <w:szCs w:val="32"/>
          <w:highlight w:val="none"/>
        </w:rPr>
        <w:t>采购方有权单方面终止与中标单位的合作，以书面形式通知中标单位，停止支付费用，要求中标单位退回已支付的费用，</w:t>
      </w:r>
      <w:r>
        <w:rPr>
          <w:rFonts w:hint="eastAsia" w:ascii="仿宋_GB2312" w:hAnsi="Calibri" w:eastAsia="仿宋_GB2312"/>
          <w:color w:val="000000"/>
          <w:sz w:val="32"/>
          <w:szCs w:val="32"/>
          <w:highlight w:val="none"/>
        </w:rPr>
        <w:t>并</w:t>
      </w:r>
      <w:r>
        <w:rPr>
          <w:rFonts w:hint="eastAsia" w:ascii="仿宋_GB2312" w:hAnsi="宋体" w:eastAsia="仿宋_GB2312"/>
          <w:color w:val="000000"/>
          <w:sz w:val="32"/>
          <w:szCs w:val="32"/>
          <w:highlight w:val="none"/>
        </w:rPr>
        <w:t>支付中标金额的30%违约责任金：</w:t>
      </w:r>
      <w:r>
        <w:rPr>
          <w:rFonts w:hint="eastAsia" w:ascii="仿宋_GB2312" w:hAnsi="华文仿宋" w:eastAsia="仿宋_GB2312"/>
          <w:color w:val="000000"/>
          <w:sz w:val="32"/>
          <w:szCs w:val="32"/>
          <w:highlight w:val="none"/>
        </w:rPr>
        <w:t xml:space="preserve"> </w:t>
      </w:r>
    </w:p>
    <w:p>
      <w:pPr>
        <w:spacing w:line="580" w:lineRule="exact"/>
        <w:ind w:firstLine="640" w:firstLineChars="200"/>
        <w:rPr>
          <w:rFonts w:ascii="仿宋_GB2312" w:hAnsi="宋体" w:eastAsia="仿宋_GB2312"/>
          <w:color w:val="000000"/>
          <w:sz w:val="32"/>
          <w:szCs w:val="32"/>
          <w:highlight w:val="none"/>
        </w:rPr>
      </w:pPr>
      <w:r>
        <w:rPr>
          <w:rFonts w:hint="eastAsia" w:ascii="仿宋_GB2312" w:hAnsi="宋体" w:eastAsia="仿宋_GB2312"/>
          <w:color w:val="000000"/>
          <w:sz w:val="32"/>
          <w:szCs w:val="32"/>
          <w:highlight w:val="none"/>
        </w:rPr>
        <w:t>1.提供虚假资料和信息；</w:t>
      </w:r>
    </w:p>
    <w:p>
      <w:pPr>
        <w:spacing w:line="580" w:lineRule="exact"/>
        <w:ind w:firstLine="640" w:firstLineChars="200"/>
        <w:rPr>
          <w:rFonts w:ascii="仿宋_GB2312" w:hAnsi="宋体" w:eastAsia="仿宋_GB2312"/>
          <w:color w:val="000000"/>
          <w:sz w:val="32"/>
          <w:szCs w:val="32"/>
          <w:highlight w:val="none"/>
        </w:rPr>
      </w:pPr>
      <w:r>
        <w:rPr>
          <w:rFonts w:hint="eastAsia" w:ascii="仿宋_GB2312" w:hAnsi="宋体" w:eastAsia="仿宋_GB2312"/>
          <w:color w:val="000000"/>
          <w:sz w:val="32"/>
          <w:szCs w:val="32"/>
          <w:highlight w:val="none"/>
        </w:rPr>
        <w:t>2.违反法律、法规规定提供服务的；</w:t>
      </w:r>
    </w:p>
    <w:p>
      <w:pPr>
        <w:spacing w:line="580" w:lineRule="exact"/>
        <w:ind w:firstLine="640" w:firstLineChars="200"/>
        <w:rPr>
          <w:rFonts w:ascii="仿宋_GB2312" w:hAnsi="宋体" w:eastAsia="仿宋_GB2312"/>
          <w:color w:val="000000"/>
          <w:sz w:val="32"/>
          <w:szCs w:val="32"/>
          <w:highlight w:val="none"/>
        </w:rPr>
      </w:pPr>
      <w:r>
        <w:rPr>
          <w:rFonts w:hint="eastAsia" w:ascii="仿宋_GB2312" w:hAnsi="宋体" w:eastAsia="仿宋_GB2312"/>
          <w:color w:val="000000"/>
          <w:sz w:val="32"/>
          <w:szCs w:val="32"/>
          <w:highlight w:val="none"/>
        </w:rPr>
        <w:t>3.服务质量未达到采购方要求的；</w:t>
      </w:r>
    </w:p>
    <w:p>
      <w:pPr>
        <w:spacing w:line="580" w:lineRule="exact"/>
        <w:ind w:firstLine="640" w:firstLineChars="200"/>
        <w:rPr>
          <w:rFonts w:ascii="仿宋_GB2312" w:hAnsi="宋体" w:eastAsia="仿宋_GB2312"/>
          <w:color w:val="000000"/>
          <w:sz w:val="32"/>
          <w:szCs w:val="32"/>
          <w:highlight w:val="none"/>
        </w:rPr>
      </w:pPr>
      <w:r>
        <w:rPr>
          <w:rFonts w:hint="eastAsia" w:ascii="仿宋_GB2312" w:hAnsi="宋体" w:eastAsia="仿宋_GB2312"/>
          <w:color w:val="000000"/>
          <w:sz w:val="32"/>
          <w:szCs w:val="32"/>
          <w:highlight w:val="none"/>
        </w:rPr>
        <w:t>4.不接受采购方进行服务质量监督、审查和管理的；</w:t>
      </w:r>
    </w:p>
    <w:p>
      <w:pPr>
        <w:spacing w:line="580" w:lineRule="exact"/>
        <w:ind w:firstLine="640" w:firstLineChars="200"/>
        <w:rPr>
          <w:rFonts w:ascii="仿宋_GB2312" w:hAnsi="宋体" w:eastAsia="仿宋_GB2312"/>
          <w:color w:val="000000"/>
          <w:sz w:val="32"/>
          <w:szCs w:val="32"/>
          <w:highlight w:val="none"/>
        </w:rPr>
      </w:pPr>
      <w:r>
        <w:rPr>
          <w:rFonts w:hint="eastAsia" w:ascii="仿宋_GB2312" w:hAnsi="宋体" w:eastAsia="仿宋_GB2312"/>
          <w:color w:val="000000"/>
          <w:sz w:val="32"/>
          <w:szCs w:val="32"/>
          <w:highlight w:val="none"/>
        </w:rPr>
        <w:t>5.签订协议后发生违约行为，或有不良违法犯罪记录的；</w:t>
      </w:r>
    </w:p>
    <w:p>
      <w:r>
        <w:rPr>
          <w:rFonts w:hint="eastAsia" w:ascii="仿宋_GB2312" w:hAnsi="宋体" w:eastAsia="仿宋_GB2312"/>
          <w:color w:val="000000"/>
          <w:sz w:val="32"/>
          <w:szCs w:val="32"/>
          <w:highlight w:val="none"/>
        </w:rPr>
        <w:t>6.已破产、停业清理，或已成为宣告破产诉讼的主体。</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F244C9"/>
    <w:multiLevelType w:val="singleLevel"/>
    <w:tmpl w:val="13F244C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15092F"/>
    <w:rsid w:val="0B1509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unhideWhenUsed/>
    <w:qFormat/>
    <w:uiPriority w:val="0"/>
    <w:pPr>
      <w:widowControl w:val="0"/>
      <w:ind w:firstLine="420"/>
      <w:jc w:val="both"/>
    </w:pPr>
    <w:rPr>
      <w:rFonts w:ascii="Times New Roman" w:hAnsi="Times New Roman" w:eastAsia="宋体" w:cs="Times New Roman"/>
      <w:kern w:val="2"/>
      <w:sz w:val="21"/>
      <w:szCs w:val="20"/>
      <w:lang w:val="en-US" w:eastAsia="zh-CN" w:bidi="ar-SA"/>
    </w:rPr>
  </w:style>
  <w:style w:type="paragraph" w:styleId="3">
    <w:name w:val="index 1"/>
    <w:next w:val="1"/>
    <w:qFormat/>
    <w:uiPriority w:val="0"/>
    <w:pPr>
      <w:widowControl w:val="0"/>
      <w:autoSpaceDE/>
      <w:autoSpaceDN/>
      <w:adjustRightInd/>
      <w:jc w:val="center"/>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2023-09-01T07:23:00Z</dcterms:created>
  <dc:creator>何小文</dc:creator>
  <cp:lastModifiedBy>何小文</cp:lastModifiedBy>
  <dcterms:modified xsi:type="dcterms:W3CDTF">2023-09-01T07:24:23Z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