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附件：广州市干部健康管理中心2024年医疗及</w:t>
      </w:r>
      <w:r>
        <w:rPr>
          <w:rFonts w:hint="eastAsia" w:ascii="等线" w:hAnsi="等线" w:eastAsia="等线"/>
          <w:sz w:val="24"/>
          <w:szCs w:val="24"/>
          <w:lang w:eastAsia="zh-CN"/>
        </w:rPr>
        <w:t>相关设备</w:t>
      </w:r>
      <w:r>
        <w:rPr>
          <w:rFonts w:hint="eastAsia" w:ascii="等线" w:hAnsi="等线" w:eastAsia="等线"/>
          <w:sz w:val="24"/>
          <w:szCs w:val="24"/>
        </w:rPr>
        <w:t>购置项目（检验及辅助设备）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全自动动态血沉分析仪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全自动血液细胞分析仪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  <w:t>流式细胞仪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A7A26D8"/>
    <w:rsid w:val="0B5C3CBD"/>
    <w:rsid w:val="11376AF9"/>
    <w:rsid w:val="125E4B51"/>
    <w:rsid w:val="2750017C"/>
    <w:rsid w:val="3463620A"/>
    <w:rsid w:val="36014D0C"/>
    <w:rsid w:val="3DAE4422"/>
    <w:rsid w:val="3DFE25DE"/>
    <w:rsid w:val="41275E7C"/>
    <w:rsid w:val="45BF3C14"/>
    <w:rsid w:val="4CF2049C"/>
    <w:rsid w:val="509B4415"/>
    <w:rsid w:val="53CC3172"/>
    <w:rsid w:val="6A0B4D6E"/>
    <w:rsid w:val="6D5960D4"/>
    <w:rsid w:val="76E475DC"/>
    <w:rsid w:val="7BF6764E"/>
    <w:rsid w:val="7E9032F2"/>
    <w:rsid w:val="7FD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2024-01-29T09:41:32Z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919B5C223F0F403981C37300AEB56094_13</vt:lpwstr>
  </property>
</Properties>
</file>