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附件：广州市干部健康管理中心2024年医疗及</w:t>
      </w:r>
      <w:r>
        <w:rPr>
          <w:rFonts w:hint="eastAsia" w:ascii="等线" w:hAnsi="等线" w:eastAsia="等线"/>
          <w:sz w:val="24"/>
          <w:szCs w:val="24"/>
          <w:lang w:eastAsia="zh-CN"/>
        </w:rPr>
        <w:t>相关设备</w:t>
      </w:r>
      <w:r>
        <w:rPr>
          <w:rFonts w:hint="eastAsia" w:ascii="等线" w:hAnsi="等线" w:eastAsia="等线"/>
          <w:sz w:val="24"/>
          <w:szCs w:val="24"/>
        </w:rPr>
        <w:t>购置项目（科研实验设备）报价单参考版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679"/>
        <w:gridCol w:w="1241"/>
        <w:gridCol w:w="1050"/>
        <w:gridCol w:w="968"/>
        <w:gridCol w:w="894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79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968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超微量紫外分光光度计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气相液氮罐（携带机械吊臂+液氮补给罐）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全自动核酸提取纯化仪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全自动细胞荧光分析仪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医用电子天平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医用核酸分子杂交仪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荧光计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  <w:t>套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4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A7A26D8"/>
    <w:rsid w:val="0B5C3CBD"/>
    <w:rsid w:val="0D2F2328"/>
    <w:rsid w:val="11376AF9"/>
    <w:rsid w:val="125E4B51"/>
    <w:rsid w:val="2750017C"/>
    <w:rsid w:val="3463620A"/>
    <w:rsid w:val="36014D0C"/>
    <w:rsid w:val="3DAE4422"/>
    <w:rsid w:val="3DFE25DE"/>
    <w:rsid w:val="41275E7C"/>
    <w:rsid w:val="45BF3C14"/>
    <w:rsid w:val="4CF2049C"/>
    <w:rsid w:val="509B4415"/>
    <w:rsid w:val="53CC3172"/>
    <w:rsid w:val="5BDC754A"/>
    <w:rsid w:val="6A0B4D6E"/>
    <w:rsid w:val="6D5960D4"/>
    <w:rsid w:val="7BF6764E"/>
    <w:rsid w:val="7E704A8B"/>
    <w:rsid w:val="7E9032F2"/>
    <w:rsid w:val="7F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2024-03-21T09:03:56Z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F80C1D375C294A07AAC718E1B900E9E9_13</vt:lpwstr>
  </property>
</Properties>
</file>