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实质性响应一览表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4159"/>
        <w:gridCol w:w="1819"/>
        <w:gridCol w:w="157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vAlign w:val="top"/>
          </w:tcPr>
          <w:p>
            <w:pPr>
              <w:jc w:val="center"/>
            </w:pPr>
            <w:r>
              <w:rPr>
                <w:b/>
                <w:sz w:val="21"/>
              </w:rPr>
              <w:t>序号</w:t>
            </w:r>
          </w:p>
        </w:tc>
        <w:tc>
          <w:tcPr>
            <w:tcW w:w="4159" w:type="dxa"/>
            <w:tcBorders>
              <w:top w:val="single" w:color="000000" w:sz="4" w:space="0"/>
              <w:left w:val="nil"/>
              <w:bottom w:val="single" w:color="000000" w:sz="4" w:space="0"/>
              <w:right w:val="single" w:color="000000" w:sz="4" w:space="0"/>
            </w:tcBorders>
            <w:vAlign w:val="top"/>
          </w:tcPr>
          <w:p>
            <w:pPr>
              <w:jc w:val="center"/>
            </w:pPr>
            <w:r>
              <w:rPr>
                <w:b/>
                <w:sz w:val="21"/>
              </w:rPr>
              <w:t>实质性响应条款</w:t>
            </w:r>
          </w:p>
        </w:tc>
        <w:tc>
          <w:tcPr>
            <w:tcW w:w="1819" w:type="dxa"/>
            <w:tcBorders>
              <w:top w:val="single" w:color="000000" w:sz="4" w:space="0"/>
              <w:left w:val="nil"/>
              <w:bottom w:val="single" w:color="000000" w:sz="4" w:space="0"/>
              <w:right w:val="single" w:color="000000" w:sz="4" w:space="0"/>
            </w:tcBorders>
            <w:vAlign w:val="top"/>
          </w:tcPr>
          <w:p>
            <w:pPr>
              <w:jc w:val="center"/>
            </w:pPr>
            <w:r>
              <w:rPr>
                <w:b/>
                <w:sz w:val="21"/>
              </w:rPr>
              <w:t>投标人响应情况</w:t>
            </w:r>
          </w:p>
        </w:tc>
        <w:tc>
          <w:tcPr>
            <w:tcW w:w="1578" w:type="dxa"/>
            <w:tcBorders>
              <w:top w:val="single" w:color="000000" w:sz="4" w:space="0"/>
              <w:left w:val="nil"/>
              <w:bottom w:val="single" w:color="000000" w:sz="4" w:space="0"/>
              <w:right w:val="single" w:color="000000" w:sz="4" w:space="0"/>
            </w:tcBorders>
            <w:vAlign w:val="top"/>
          </w:tcPr>
          <w:p>
            <w:pPr>
              <w:jc w:val="center"/>
            </w:pPr>
            <w:r>
              <w:rPr>
                <w:b/>
                <w:sz w:val="21"/>
              </w:rPr>
              <w:t>差异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dxa"/>
            <w:tcBorders>
              <w:top w:val="nil"/>
              <w:left w:val="single" w:color="000000" w:sz="4" w:space="0"/>
              <w:bottom w:val="single" w:color="000000" w:sz="4" w:space="0"/>
              <w:right w:val="single" w:color="000000" w:sz="4" w:space="0"/>
            </w:tcBorders>
            <w:vAlign w:val="top"/>
          </w:tcPr>
          <w:p>
            <w:pPr>
              <w:jc w:val="center"/>
            </w:pPr>
            <w:r>
              <w:rPr>
                <w:sz w:val="21"/>
              </w:rPr>
              <w:t>1</w:t>
            </w:r>
          </w:p>
        </w:tc>
        <w:tc>
          <w:tcPr>
            <w:tcW w:w="4159" w:type="dxa"/>
            <w:tcBorders>
              <w:top w:val="nil"/>
              <w:left w:val="nil"/>
              <w:bottom w:val="single" w:color="000000" w:sz="4" w:space="0"/>
              <w:right w:val="single" w:color="000000" w:sz="4" w:space="0"/>
            </w:tcBorders>
            <w:vAlign w:val="top"/>
          </w:tcPr>
          <w:p>
            <w:pPr>
              <w:rPr>
                <w:rFonts w:hint="eastAsia" w:asciiTheme="minorHAnsi" w:hAnsiTheme="minorHAnsi" w:eastAsiaTheme="minorEastAsia" w:cstheme="minorBidi"/>
                <w:kern w:val="0"/>
                <w:sz w:val="20"/>
                <w:szCs w:val="20"/>
                <w:lang w:eastAsia="zh-Hans"/>
              </w:rPr>
            </w:pPr>
            <w:r>
              <w:rPr>
                <w:rFonts w:hint="eastAsia" w:asciiTheme="minorHAnsi" w:hAnsiTheme="minorHAnsi" w:eastAsiaTheme="minorEastAsia" w:cstheme="minorBidi"/>
                <w:kern w:val="0"/>
                <w:sz w:val="20"/>
                <w:szCs w:val="20"/>
                <w:lang w:eastAsia="zh-Hans"/>
              </w:rPr>
              <w:t>★一、报价要求</w:t>
            </w:r>
          </w:p>
          <w:p>
            <w:pPr>
              <w:rPr>
                <w:rFonts w:hint="eastAsia" w:asciiTheme="minorHAnsi" w:hAnsiTheme="minorHAnsi" w:eastAsiaTheme="minorEastAsia" w:cstheme="minorBidi"/>
                <w:kern w:val="0"/>
                <w:sz w:val="20"/>
                <w:szCs w:val="20"/>
                <w:lang w:eastAsia="zh-Hans"/>
              </w:rPr>
            </w:pPr>
            <w:r>
              <w:rPr>
                <w:rFonts w:hint="eastAsia" w:asciiTheme="minorHAnsi" w:hAnsiTheme="minorHAnsi" w:eastAsiaTheme="minorEastAsia" w:cstheme="minorBidi"/>
                <w:kern w:val="0"/>
                <w:sz w:val="20"/>
                <w:szCs w:val="20"/>
                <w:lang w:eastAsia="zh-Hans"/>
              </w:rPr>
              <w:t>1.供应商报价应以人民币为单位，本项目供应商报价应包括为完成</w:t>
            </w:r>
            <w:r>
              <w:rPr>
                <w:rFonts w:hint="eastAsia" w:asciiTheme="minorHAnsi" w:hAnsiTheme="minorHAnsi" w:eastAsiaTheme="minorEastAsia" w:cstheme="minorBidi"/>
                <w:kern w:val="0"/>
                <w:sz w:val="20"/>
                <w:szCs w:val="20"/>
                <w:lang w:val="en-US" w:eastAsia="zh-Hans"/>
              </w:rPr>
              <w:t>本</w:t>
            </w:r>
            <w:r>
              <w:rPr>
                <w:rFonts w:hint="eastAsia" w:asciiTheme="minorHAnsi" w:hAnsiTheme="minorHAnsi" w:eastAsiaTheme="minorEastAsia" w:cstheme="minorBidi"/>
                <w:kern w:val="0"/>
                <w:sz w:val="20"/>
                <w:szCs w:val="20"/>
                <w:lang w:eastAsia="zh-Hans"/>
              </w:rPr>
              <w:t>项目全部</w:t>
            </w:r>
            <w:r>
              <w:rPr>
                <w:rFonts w:hint="eastAsia" w:asciiTheme="minorHAnsi" w:hAnsiTheme="minorHAnsi" w:eastAsiaTheme="minorEastAsia" w:cstheme="minorBidi"/>
                <w:kern w:val="0"/>
                <w:sz w:val="20"/>
                <w:szCs w:val="20"/>
                <w:lang w:val="en-US" w:eastAsia="zh-Hans"/>
              </w:rPr>
              <w:t>要求</w:t>
            </w:r>
            <w:r>
              <w:rPr>
                <w:rFonts w:hint="eastAsia" w:asciiTheme="minorHAnsi" w:hAnsiTheme="minorHAnsi" w:eastAsiaTheme="minorEastAsia" w:cstheme="minorBidi"/>
                <w:kern w:val="0"/>
                <w:sz w:val="20"/>
                <w:szCs w:val="20"/>
                <w:lang w:eastAsia="zh-Hans"/>
              </w:rPr>
              <w:t>内容的所有费用（包括但不限于维修费、保养费、材料费、检测仪器费、工具及物耗费用、项目所列维修配件费、人员工资、加班费、突发性作业费、劳保费、福利费、保险费、风险金和税费、利润、不可预见费等），上述费用不管是否在供应商的投标文件报价事项中单列，均视为投标总价中已包含该费用。</w:t>
            </w:r>
          </w:p>
          <w:p>
            <w:r>
              <w:rPr>
                <w:rFonts w:hint="eastAsia" w:asciiTheme="minorHAnsi" w:hAnsiTheme="minorHAnsi" w:eastAsiaTheme="minorEastAsia" w:cstheme="minorBidi"/>
                <w:kern w:val="0"/>
                <w:sz w:val="20"/>
                <w:szCs w:val="20"/>
                <w:lang w:eastAsia="zh-Hans"/>
              </w:rPr>
              <w:t>2.采购项目在供应商（乙方）提出验收时，采购人（甲方）有权无条件邀请有相关检测资质的第三方，就所提供服务涉及的技术指标是否满足合同要求进行检测，涉及的相关费用，应包含在投标总价中（不在投标报价中单列）。</w:t>
            </w:r>
          </w:p>
        </w:tc>
        <w:tc>
          <w:tcPr>
            <w:tcW w:w="1819" w:type="dxa"/>
            <w:tcBorders>
              <w:top w:val="nil"/>
              <w:left w:val="nil"/>
              <w:bottom w:val="single" w:color="000000" w:sz="4" w:space="0"/>
              <w:right w:val="single" w:color="000000" w:sz="4" w:space="0"/>
            </w:tcBorders>
            <w:vAlign w:val="top"/>
          </w:tcPr>
          <w:p>
            <w:pPr>
              <w:jc w:val="both"/>
            </w:pPr>
          </w:p>
        </w:tc>
        <w:tc>
          <w:tcPr>
            <w:tcW w:w="1578"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4159" w:type="dxa"/>
            <w:tcBorders>
              <w:top w:val="nil"/>
              <w:left w:val="nil"/>
              <w:bottom w:val="single" w:color="000000" w:sz="4" w:space="0"/>
              <w:right w:val="single" w:color="000000" w:sz="4" w:space="0"/>
            </w:tcBorders>
            <w:vAlign w:val="top"/>
          </w:tcPr>
          <w:p>
            <w:pPr>
              <w:jc w:val="both"/>
            </w:pPr>
            <w:r>
              <w:rPr>
                <w:rFonts w:hint="eastAsia" w:asciiTheme="minorHAnsi" w:hAnsiTheme="minorHAnsi" w:eastAsiaTheme="minorEastAsia" w:cstheme="minorBidi"/>
                <w:b w:val="0"/>
                <w:bCs w:val="0"/>
                <w:kern w:val="0"/>
                <w:sz w:val="20"/>
                <w:szCs w:val="20"/>
                <w:lang w:eastAsia="zh-Hans"/>
              </w:rPr>
              <w:t>★</w:t>
            </w:r>
            <w:r>
              <w:rPr>
                <w:rFonts w:hint="eastAsia" w:asciiTheme="minorHAnsi" w:hAnsiTheme="minorHAnsi" w:eastAsiaTheme="minorEastAsia" w:cstheme="minorBidi"/>
                <w:b w:val="0"/>
                <w:bCs w:val="0"/>
                <w:kern w:val="0"/>
                <w:sz w:val="20"/>
                <w:szCs w:val="20"/>
                <w:lang w:val="en-US" w:eastAsia="zh-Hans"/>
              </w:rPr>
              <w:t>二</w:t>
            </w:r>
            <w:r>
              <w:rPr>
                <w:rFonts w:hint="eastAsia" w:asciiTheme="minorHAnsi" w:hAnsiTheme="minorHAnsi" w:eastAsiaTheme="minorEastAsia" w:cstheme="minorBidi"/>
                <w:b w:val="0"/>
                <w:bCs w:val="0"/>
                <w:kern w:val="0"/>
                <w:sz w:val="20"/>
                <w:szCs w:val="20"/>
                <w:lang w:eastAsia="zh-Hans"/>
              </w:rPr>
              <w:t>、供应商不</w:t>
            </w:r>
            <w:r>
              <w:rPr>
                <w:rFonts w:hint="eastAsia" w:asciiTheme="minorHAnsi" w:hAnsiTheme="minorHAnsi" w:eastAsiaTheme="minorEastAsia" w:cstheme="minorBidi"/>
                <w:kern w:val="0"/>
                <w:sz w:val="20"/>
                <w:szCs w:val="20"/>
                <w:lang w:eastAsia="zh-Hans"/>
              </w:rPr>
              <w:t>能以任何形式转包，不得整体或部份将维修工作转包给其它公司或个人，一经查实，将终止合同，</w:t>
            </w:r>
            <w:r>
              <w:rPr>
                <w:rFonts w:hint="eastAsia" w:asciiTheme="minorHAnsi" w:hAnsiTheme="minorHAnsi" w:eastAsiaTheme="minorEastAsia" w:cstheme="minorBidi"/>
                <w:kern w:val="0"/>
                <w:sz w:val="20"/>
                <w:szCs w:val="20"/>
                <w:lang w:val="en-US" w:eastAsia="zh-Hans"/>
              </w:rPr>
              <w:t>中标</w:t>
            </w:r>
            <w:r>
              <w:rPr>
                <w:rFonts w:hint="eastAsia" w:asciiTheme="minorHAnsi" w:hAnsiTheme="minorHAnsi" w:eastAsiaTheme="minorEastAsia" w:cstheme="minorBidi"/>
                <w:kern w:val="0"/>
                <w:sz w:val="20"/>
                <w:szCs w:val="20"/>
                <w:lang w:eastAsia="zh-Hans"/>
              </w:rPr>
              <w:t>供应商要赔偿由此引起的一切经济损失。</w:t>
            </w:r>
          </w:p>
        </w:tc>
        <w:tc>
          <w:tcPr>
            <w:tcW w:w="1819" w:type="dxa"/>
            <w:tcBorders>
              <w:top w:val="nil"/>
              <w:left w:val="nil"/>
              <w:bottom w:val="single" w:color="000000" w:sz="4" w:space="0"/>
              <w:right w:val="single" w:color="000000" w:sz="4" w:space="0"/>
            </w:tcBorders>
            <w:vAlign w:val="top"/>
          </w:tcPr>
          <w:p>
            <w:pPr>
              <w:jc w:val="both"/>
            </w:pPr>
          </w:p>
        </w:tc>
        <w:tc>
          <w:tcPr>
            <w:tcW w:w="1578"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dxa"/>
            <w:tcBorders>
              <w:top w:val="nil"/>
              <w:left w:val="single" w:color="000000" w:sz="4" w:space="0"/>
              <w:bottom w:val="nil"/>
              <w:right w:val="single" w:color="000000" w:sz="4" w:space="0"/>
            </w:tcBorders>
            <w:vAlign w:val="top"/>
          </w:tcPr>
          <w:p>
            <w:pPr>
              <w:jc w:val="center"/>
            </w:pPr>
            <w:r>
              <w:rPr>
                <w:sz w:val="21"/>
              </w:rPr>
              <w:t>3</w:t>
            </w:r>
          </w:p>
        </w:tc>
        <w:tc>
          <w:tcPr>
            <w:tcW w:w="4159" w:type="dxa"/>
            <w:tcBorders>
              <w:top w:val="nil"/>
              <w:left w:val="nil"/>
              <w:bottom w:val="nil"/>
              <w:right w:val="single" w:color="000000" w:sz="4" w:space="0"/>
            </w:tcBorders>
            <w:vAlign w:val="top"/>
          </w:tcPr>
          <w:p>
            <w:pPr>
              <w:jc w:val="both"/>
            </w:pPr>
            <w:r>
              <w:rPr>
                <w:rFonts w:hint="eastAsia" w:asciiTheme="minorHAnsi" w:hAnsiTheme="minorHAnsi" w:eastAsiaTheme="minorEastAsia" w:cstheme="minorBidi"/>
                <w:kern w:val="0"/>
                <w:sz w:val="20"/>
                <w:szCs w:val="20"/>
                <w:lang w:val="en-US" w:eastAsia="zh-Hans"/>
              </w:rPr>
              <w:t>★三、</w:t>
            </w:r>
            <w:r>
              <w:rPr>
                <w:rFonts w:hint="eastAsia" w:asciiTheme="minorHAnsi" w:hAnsiTheme="minorHAnsi" w:eastAsiaTheme="minorEastAsia" w:cstheme="minorBidi"/>
                <w:kern w:val="0"/>
                <w:sz w:val="20"/>
                <w:szCs w:val="20"/>
                <w:lang w:eastAsia="zh-Hans"/>
              </w:rPr>
              <w:t>供应商参与投标，视为完全知晓本项目涉及维保的所有设备的</w:t>
            </w:r>
            <w:r>
              <w:rPr>
                <w:rFonts w:hint="eastAsia" w:asciiTheme="minorHAnsi" w:hAnsiTheme="minorHAnsi" w:eastAsiaTheme="minorEastAsia" w:cstheme="minorBidi"/>
                <w:kern w:val="0"/>
                <w:sz w:val="20"/>
                <w:szCs w:val="20"/>
                <w:lang w:val="en-US" w:eastAsia="zh-Hans"/>
              </w:rPr>
              <w:t>运行状态以及存在的问题</w:t>
            </w:r>
            <w:r>
              <w:rPr>
                <w:rFonts w:hint="eastAsia" w:asciiTheme="minorHAnsi" w:hAnsiTheme="minorHAnsi" w:eastAsiaTheme="minorEastAsia" w:cstheme="minorBidi"/>
                <w:kern w:val="0"/>
                <w:sz w:val="20"/>
                <w:szCs w:val="20"/>
                <w:lang w:eastAsia="zh-Hans"/>
              </w:rPr>
              <w:t>，并应</w:t>
            </w:r>
            <w:r>
              <w:rPr>
                <w:rFonts w:hint="eastAsia" w:asciiTheme="minorHAnsi" w:hAnsiTheme="minorHAnsi" w:eastAsiaTheme="minorEastAsia" w:cstheme="minorBidi"/>
                <w:kern w:val="0"/>
                <w:sz w:val="20"/>
                <w:szCs w:val="20"/>
                <w:lang w:val="en-US" w:eastAsia="zh-Hans"/>
              </w:rPr>
              <w:t>按招标文件的实质性要求和投标文件响应的内容履行合同，并确保所有设备在</w:t>
            </w:r>
            <w:r>
              <w:rPr>
                <w:rFonts w:hint="eastAsia" w:asciiTheme="minorHAnsi" w:hAnsiTheme="minorHAnsi" w:eastAsiaTheme="minorEastAsia" w:cstheme="minorBidi"/>
                <w:kern w:val="0"/>
                <w:sz w:val="20"/>
                <w:szCs w:val="20"/>
                <w:lang w:eastAsia="zh-Hans"/>
              </w:rPr>
              <w:t>维保期内正常、</w:t>
            </w:r>
            <w:r>
              <w:rPr>
                <w:rFonts w:hint="eastAsia" w:asciiTheme="minorHAnsi" w:hAnsiTheme="minorHAnsi" w:eastAsiaTheme="minorEastAsia" w:cstheme="minorBidi"/>
                <w:kern w:val="0"/>
                <w:sz w:val="20"/>
                <w:szCs w:val="20"/>
                <w:lang w:val="en-US" w:eastAsia="zh-Hans"/>
              </w:rPr>
              <w:t>有效运行</w:t>
            </w:r>
            <w:r>
              <w:rPr>
                <w:rFonts w:hint="eastAsia" w:asciiTheme="minorHAnsi" w:hAnsiTheme="minorHAnsi" w:eastAsiaTheme="minorEastAsia" w:cstheme="minorBidi"/>
                <w:kern w:val="0"/>
                <w:sz w:val="20"/>
                <w:szCs w:val="20"/>
                <w:lang w:eastAsia="zh-Hans"/>
              </w:rPr>
              <w:t>。</w:t>
            </w:r>
          </w:p>
        </w:tc>
        <w:tc>
          <w:tcPr>
            <w:tcW w:w="1819" w:type="dxa"/>
            <w:tcBorders>
              <w:top w:val="nil"/>
              <w:left w:val="nil"/>
              <w:bottom w:val="nil"/>
              <w:right w:val="single" w:color="000000" w:sz="4" w:space="0"/>
            </w:tcBorders>
            <w:vAlign w:val="top"/>
          </w:tcPr>
          <w:p>
            <w:pPr>
              <w:jc w:val="both"/>
            </w:pPr>
          </w:p>
        </w:tc>
        <w:tc>
          <w:tcPr>
            <w:tcW w:w="1578" w:type="dxa"/>
            <w:tcBorders>
              <w:top w:val="nil"/>
              <w:left w:val="nil"/>
              <w:bottom w:val="nil"/>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dxa"/>
            <w:tcBorders>
              <w:top w:val="nil"/>
              <w:left w:val="single" w:color="000000" w:sz="4" w:space="0"/>
              <w:bottom w:val="nil"/>
              <w:right w:val="single" w:color="000000" w:sz="4" w:space="0"/>
            </w:tcBorders>
            <w:vAlign w:val="top"/>
          </w:tcPr>
          <w:p>
            <w:pPr>
              <w:jc w:val="center"/>
              <w:rPr>
                <w:rFonts w:hint="eastAsia" w:eastAsiaTheme="minorEastAsia"/>
                <w:sz w:val="21"/>
                <w:lang w:val="en-US" w:eastAsia="zh-CN"/>
              </w:rPr>
            </w:pPr>
            <w:r>
              <w:rPr>
                <w:rFonts w:hint="eastAsia"/>
                <w:sz w:val="21"/>
                <w:lang w:val="en-US" w:eastAsia="zh-CN"/>
              </w:rPr>
              <w:t>4</w:t>
            </w:r>
          </w:p>
        </w:tc>
        <w:tc>
          <w:tcPr>
            <w:tcW w:w="4159" w:type="dxa"/>
            <w:tcBorders>
              <w:top w:val="nil"/>
              <w:left w:val="nil"/>
              <w:bottom w:val="nil"/>
              <w:right w:val="single" w:color="000000" w:sz="4" w:space="0"/>
            </w:tcBorders>
            <w:vAlign w:val="top"/>
          </w:tcPr>
          <w:p>
            <w:pPr>
              <w:jc w:val="both"/>
            </w:pPr>
            <w:r>
              <w:rPr>
                <w:rFonts w:hint="eastAsia" w:asciiTheme="minorHAnsi" w:hAnsiTheme="minorHAnsi" w:eastAsiaTheme="minorEastAsia" w:cstheme="minorBidi"/>
                <w:kern w:val="0"/>
                <w:sz w:val="20"/>
                <w:szCs w:val="20"/>
                <w:lang w:eastAsia="zh-Hans"/>
              </w:rPr>
              <w:t>★</w:t>
            </w:r>
            <w:r>
              <w:rPr>
                <w:rFonts w:hint="eastAsia" w:asciiTheme="minorHAnsi" w:hAnsiTheme="minorHAnsi" w:eastAsiaTheme="minorEastAsia" w:cstheme="minorBidi"/>
                <w:kern w:val="0"/>
                <w:sz w:val="20"/>
                <w:szCs w:val="20"/>
                <w:lang w:val="en-US" w:eastAsia="zh-Hans"/>
              </w:rPr>
              <w:t>四、</w:t>
            </w:r>
            <w:r>
              <w:rPr>
                <w:rFonts w:hint="eastAsia" w:asciiTheme="minorHAnsi" w:hAnsiTheme="minorHAnsi" w:eastAsiaTheme="minorEastAsia" w:cstheme="minorBidi"/>
                <w:kern w:val="0"/>
                <w:sz w:val="20"/>
                <w:szCs w:val="20"/>
                <w:lang w:eastAsia="zh-Hans"/>
              </w:rPr>
              <w:t>投标人应对本项目投标文件响应的所有内容真实性负责，自投标截止时间开始，当出现采购人或采购代理机构对投标人的投标文件响应的内容有疑问，或者出现质疑或投诉等情形时，投标人应按采购代理机构或采购人的要求（要求的方式包括但不限于邮件方式、电话方式等），在要求发出之日起的5个工作日内无条件提供包括但不限于由货物制造商出具的相关证明材料，或者具有国家认可的认证机构出具的、处于有效期之内的质量检验检测报告等资料（含提供原件）</w:t>
            </w:r>
          </w:p>
        </w:tc>
        <w:tc>
          <w:tcPr>
            <w:tcW w:w="1819" w:type="dxa"/>
            <w:tcBorders>
              <w:top w:val="nil"/>
              <w:left w:val="nil"/>
              <w:bottom w:val="nil"/>
              <w:right w:val="single" w:color="000000" w:sz="4" w:space="0"/>
            </w:tcBorders>
            <w:vAlign w:val="top"/>
          </w:tcPr>
          <w:p>
            <w:pPr>
              <w:jc w:val="both"/>
            </w:pPr>
          </w:p>
        </w:tc>
        <w:tc>
          <w:tcPr>
            <w:tcW w:w="1578" w:type="dxa"/>
            <w:tcBorders>
              <w:top w:val="nil"/>
              <w:left w:val="nil"/>
              <w:bottom w:val="nil"/>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dxa"/>
            <w:tcBorders>
              <w:top w:val="nil"/>
              <w:left w:val="single" w:color="000000" w:sz="4" w:space="0"/>
              <w:bottom w:val="nil"/>
              <w:right w:val="single" w:color="000000" w:sz="4" w:space="0"/>
            </w:tcBorders>
            <w:vAlign w:val="top"/>
          </w:tcPr>
          <w:p>
            <w:pPr>
              <w:jc w:val="center"/>
              <w:rPr>
                <w:rFonts w:hint="eastAsia" w:eastAsiaTheme="minorEastAsia"/>
                <w:sz w:val="21"/>
                <w:lang w:val="en-US" w:eastAsia="zh-CN"/>
              </w:rPr>
            </w:pPr>
            <w:r>
              <w:rPr>
                <w:rFonts w:hint="eastAsia"/>
                <w:sz w:val="21"/>
                <w:lang w:val="en-US" w:eastAsia="zh-CN"/>
              </w:rPr>
              <w:t>5</w:t>
            </w:r>
          </w:p>
        </w:tc>
        <w:tc>
          <w:tcPr>
            <w:tcW w:w="4159" w:type="dxa"/>
            <w:tcBorders>
              <w:top w:val="nil"/>
              <w:left w:val="nil"/>
              <w:bottom w:val="nil"/>
              <w:right w:val="single" w:color="000000" w:sz="4" w:space="0"/>
            </w:tcBorders>
            <w:vAlign w:val="top"/>
          </w:tcPr>
          <w:p>
            <w:pPr>
              <w:jc w:val="left"/>
              <w:rPr>
                <w:rFonts w:hint="eastAsia" w:asciiTheme="minorHAnsi" w:hAnsiTheme="minorHAnsi" w:eastAsiaTheme="minorEastAsia" w:cstheme="minorBidi"/>
                <w:kern w:val="0"/>
                <w:sz w:val="20"/>
                <w:szCs w:val="20"/>
                <w:lang w:eastAsia="zh-Hans"/>
              </w:rPr>
            </w:pPr>
            <w:r>
              <w:rPr>
                <w:rFonts w:hint="eastAsia" w:asciiTheme="minorHAnsi" w:hAnsiTheme="minorHAnsi" w:eastAsiaTheme="minorEastAsia" w:cstheme="minorBidi"/>
                <w:kern w:val="0"/>
                <w:sz w:val="20"/>
                <w:szCs w:val="20"/>
                <w:lang w:eastAsia="zh-Hans"/>
              </w:rPr>
              <w:t>★</w:t>
            </w:r>
            <w:r>
              <w:rPr>
                <w:rFonts w:hint="eastAsia" w:asciiTheme="minorHAnsi" w:hAnsiTheme="minorHAnsi" w:eastAsiaTheme="minorEastAsia" w:cstheme="minorBidi"/>
                <w:kern w:val="0"/>
                <w:sz w:val="20"/>
                <w:szCs w:val="20"/>
                <w:lang w:val="en-US" w:eastAsia="zh-Hans"/>
              </w:rPr>
              <w:t>五</w:t>
            </w:r>
            <w:r>
              <w:rPr>
                <w:rFonts w:hint="eastAsia" w:asciiTheme="minorHAnsi" w:hAnsiTheme="minorHAnsi" w:eastAsiaTheme="minorEastAsia" w:cstheme="minorBidi"/>
                <w:kern w:val="0"/>
                <w:sz w:val="20"/>
                <w:szCs w:val="20"/>
                <w:lang w:eastAsia="zh-Hans"/>
              </w:rPr>
              <w:t>、特殊情形下资金支付原则</w:t>
            </w:r>
          </w:p>
          <w:p>
            <w:pPr>
              <w:numPr>
                <w:ilvl w:val="0"/>
                <w:numId w:val="0"/>
              </w:numPr>
            </w:pPr>
            <w:r>
              <w:rPr>
                <w:rFonts w:hint="eastAsia" w:asciiTheme="minorHAnsi" w:hAnsiTheme="minorHAnsi" w:eastAsiaTheme="minorEastAsia" w:cstheme="minorBidi"/>
                <w:kern w:val="0"/>
                <w:sz w:val="20"/>
                <w:szCs w:val="20"/>
                <w:lang w:eastAsia="zh-Hans"/>
              </w:rPr>
              <w:t>采购人所要求的维保设备出现因更新而停用的状况时，双方签订的合同自动终止，维保费用依照此公式支付：（对应设备维保费/</w:t>
            </w:r>
            <w:r>
              <w:rPr>
                <w:rFonts w:hint="eastAsia" w:asciiTheme="minorHAnsi" w:hAnsiTheme="minorHAnsi" w:eastAsiaTheme="minorEastAsia" w:cstheme="minorBidi"/>
                <w:kern w:val="0"/>
                <w:sz w:val="20"/>
                <w:szCs w:val="20"/>
                <w:lang w:val="en-US" w:eastAsia="zh-Hans"/>
              </w:rPr>
              <w:t>24</w:t>
            </w:r>
            <w:r>
              <w:rPr>
                <w:rFonts w:hint="eastAsia" w:asciiTheme="minorHAnsi" w:hAnsiTheme="minorHAnsi" w:eastAsiaTheme="minorEastAsia" w:cstheme="minorBidi"/>
                <w:kern w:val="0"/>
                <w:sz w:val="20"/>
                <w:szCs w:val="20"/>
                <w:lang w:eastAsia="zh-Hans"/>
              </w:rPr>
              <w:t>）×已实施维保月份，不满一个月的不计入已实施维保月份。采购人不承担因终止合同而造成的赔偿和责任。</w:t>
            </w:r>
          </w:p>
        </w:tc>
        <w:tc>
          <w:tcPr>
            <w:tcW w:w="1819" w:type="dxa"/>
            <w:tcBorders>
              <w:top w:val="nil"/>
              <w:left w:val="nil"/>
              <w:bottom w:val="nil"/>
              <w:right w:val="single" w:color="000000" w:sz="4" w:space="0"/>
            </w:tcBorders>
            <w:vAlign w:val="top"/>
          </w:tcPr>
          <w:p>
            <w:pPr>
              <w:jc w:val="both"/>
            </w:pPr>
          </w:p>
        </w:tc>
        <w:tc>
          <w:tcPr>
            <w:tcW w:w="1578" w:type="dxa"/>
            <w:tcBorders>
              <w:top w:val="nil"/>
              <w:left w:val="nil"/>
              <w:bottom w:val="nil"/>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5" w:type="dxa"/>
            <w:tcBorders>
              <w:top w:val="nil"/>
              <w:left w:val="single" w:color="000000" w:sz="4" w:space="0"/>
              <w:bottom w:val="single" w:color="000000" w:sz="4" w:space="0"/>
              <w:right w:val="single" w:color="000000" w:sz="4" w:space="0"/>
            </w:tcBorders>
            <w:vAlign w:val="top"/>
          </w:tcPr>
          <w:p>
            <w:pPr>
              <w:jc w:val="center"/>
              <w:rPr>
                <w:rFonts w:hint="eastAsia" w:eastAsiaTheme="minorEastAsia"/>
                <w:sz w:val="21"/>
                <w:lang w:val="en-US" w:eastAsia="zh-CN"/>
              </w:rPr>
            </w:pPr>
            <w:r>
              <w:rPr>
                <w:rFonts w:hint="eastAsia"/>
                <w:sz w:val="21"/>
                <w:lang w:val="en-US" w:eastAsia="zh-CN"/>
              </w:rPr>
              <w:t>6</w:t>
            </w:r>
          </w:p>
        </w:tc>
        <w:tc>
          <w:tcPr>
            <w:tcW w:w="4159" w:type="dxa"/>
            <w:tcBorders>
              <w:top w:val="nil"/>
              <w:left w:val="nil"/>
              <w:bottom w:val="single" w:color="000000" w:sz="4" w:space="0"/>
              <w:right w:val="single" w:color="000000" w:sz="4" w:space="0"/>
            </w:tcBorders>
            <w:vAlign w:val="top"/>
          </w:tcPr>
          <w:p>
            <w:pPr>
              <w:jc w:val="both"/>
            </w:pPr>
            <w:r>
              <w:rPr>
                <w:rFonts w:hint="eastAsia" w:ascii="宋体" w:hAnsi="宋体" w:eastAsia="宋体" w:cs="宋体"/>
                <w:sz w:val="20"/>
                <w:szCs w:val="20"/>
              </w:rPr>
              <w:t>★</w:t>
            </w:r>
            <w:bookmarkStart w:id="0" w:name="_GoBack"/>
            <w:bookmarkEnd w:id="0"/>
            <w:r>
              <w:rPr>
                <w:rFonts w:hint="eastAsia" w:ascii="宋体" w:hAnsi="宋体" w:eastAsia="宋体" w:cs="宋体"/>
                <w:sz w:val="20"/>
                <w:szCs w:val="20"/>
                <w:lang w:val="en-US" w:eastAsia="zh-CN"/>
              </w:rPr>
              <w:t>10.有能力提供全新原装球管，必须为全新原装球管，且球管具有NMPA注册证，且注册证在有效期内；如没有单独球管注册证，须提供整机注册证。</w:t>
            </w:r>
            <w:r>
              <w:rPr>
                <w:rFonts w:hint="eastAsia" w:ascii="宋体" w:hAnsi="宋体" w:eastAsia="宋体" w:cs="宋体"/>
                <w:sz w:val="20"/>
                <w:szCs w:val="20"/>
              </w:rPr>
              <w:t>提供球管与CT整机匹配的</w:t>
            </w:r>
            <w:r>
              <w:t>NMPA</w:t>
            </w:r>
            <w:r>
              <w:rPr>
                <w:rFonts w:hint="eastAsia" w:ascii="宋体" w:hAnsi="宋体" w:eastAsia="宋体" w:cs="宋体"/>
                <w:sz w:val="20"/>
                <w:szCs w:val="20"/>
              </w:rPr>
              <w:t>认证报告</w:t>
            </w:r>
            <w:r>
              <w:rPr>
                <w:rFonts w:hint="eastAsia" w:ascii="宋体" w:hAnsi="宋体" w:eastAsia="宋体" w:cs="宋体"/>
                <w:sz w:val="20"/>
                <w:szCs w:val="20"/>
                <w:lang w:val="en-US" w:eastAsia="zh-CN"/>
              </w:rPr>
              <w:t>（</w:t>
            </w:r>
            <w:r>
              <w:rPr>
                <w:rFonts w:hint="eastAsia" w:ascii="宋体" w:hAnsi="宋体" w:eastAsia="宋体" w:cs="宋体"/>
                <w:sz w:val="20"/>
                <w:szCs w:val="20"/>
              </w:rPr>
              <w:t>提供相应</w:t>
            </w:r>
            <w:r>
              <w:rPr>
                <w:rFonts w:hint="eastAsia" w:ascii="宋体" w:hAnsi="宋体" w:eastAsia="宋体" w:cs="宋体"/>
                <w:sz w:val="20"/>
                <w:szCs w:val="20"/>
                <w:lang w:val="en-US" w:eastAsia="zh-CN"/>
              </w:rPr>
              <w:t>具有连续性的</w:t>
            </w:r>
            <w:r>
              <w:rPr>
                <w:rFonts w:hint="eastAsia" w:ascii="宋体" w:hAnsi="宋体" w:eastAsia="宋体" w:cs="宋体"/>
                <w:sz w:val="20"/>
                <w:szCs w:val="20"/>
              </w:rPr>
              <w:t>证明材料</w:t>
            </w:r>
            <w:r>
              <w:rPr>
                <w:rFonts w:hint="eastAsia" w:ascii="宋体" w:hAnsi="宋体" w:eastAsia="宋体" w:cs="宋体"/>
                <w:sz w:val="20"/>
                <w:szCs w:val="20"/>
                <w:lang w:val="en-US" w:eastAsia="zh-CN"/>
              </w:rPr>
              <w:t>）。</w:t>
            </w:r>
          </w:p>
        </w:tc>
        <w:tc>
          <w:tcPr>
            <w:tcW w:w="1819" w:type="dxa"/>
            <w:tcBorders>
              <w:top w:val="nil"/>
              <w:left w:val="nil"/>
              <w:bottom w:val="single" w:color="000000" w:sz="4" w:space="0"/>
              <w:right w:val="single" w:color="000000" w:sz="4" w:space="0"/>
            </w:tcBorders>
            <w:vAlign w:val="top"/>
          </w:tcPr>
          <w:p>
            <w:pPr>
              <w:jc w:val="both"/>
            </w:pPr>
          </w:p>
        </w:tc>
        <w:tc>
          <w:tcPr>
            <w:tcW w:w="1578" w:type="dxa"/>
            <w:tcBorders>
              <w:top w:val="nil"/>
              <w:left w:val="nil"/>
              <w:bottom w:val="single" w:color="000000" w:sz="4" w:space="0"/>
              <w:right w:val="single" w:color="000000" w:sz="4" w:space="0"/>
            </w:tcBorders>
            <w:vAlign w:val="top"/>
          </w:tcPr>
          <w:p>
            <w:pPr>
              <w:jc w:val="both"/>
            </w:pPr>
          </w:p>
        </w:tc>
      </w:tr>
    </w:tbl>
    <w:p>
      <w:pPr>
        <w:rPr>
          <w:rFonts w:hint="eastAsia"/>
          <w:lang w:val="en-US" w:eastAsia="zh-CN"/>
        </w:rPr>
      </w:pPr>
    </w:p>
    <w:p>
      <w:pPr>
        <w:jc w:val="both"/>
      </w:pPr>
      <w:r>
        <w:rPr>
          <w:i/>
          <w:color w:val="0000FF"/>
          <w:sz w:val="21"/>
        </w:rPr>
        <w:t>说明：</w:t>
      </w:r>
    </w:p>
    <w:p>
      <w:pPr>
        <w:jc w:val="both"/>
      </w:pPr>
      <w:r>
        <w:rPr>
          <w:i/>
          <w:color w:val="0000FF"/>
          <w:sz w:val="21"/>
        </w:rPr>
        <w:t>①上述《实质性响应一览表》（将商务要求和技术要求的所有“★条款”集中统一列入，如与商务要求和技术要求不一致，以《实质性响应一览表》为准）</w:t>
      </w:r>
    </w:p>
    <w:p>
      <w:pPr>
        <w:jc w:val="both"/>
      </w:pPr>
      <w:r>
        <w:rPr>
          <w:i/>
          <w:color w:val="0000FF"/>
          <w:sz w:val="21"/>
        </w:rPr>
        <w:t>②本表所列条款必须一一予以响应，“投标人响应情况”一栏应对采购文件提出的要求和条件作出明确响应，并列明具体响应数值或内容，有差异的要具体说明，并提供相关证明材料（如要求）。</w:t>
      </w:r>
    </w:p>
    <w:p>
      <w:pPr>
        <w:jc w:val="both"/>
      </w:pPr>
      <w:r>
        <w:rPr>
          <w:i/>
          <w:color w:val="0000FF"/>
          <w:sz w:val="21"/>
        </w:rPr>
        <w:t>③请投标人认真填写本表内容，如填写错误将可能导致投标（响应）无效。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000000"/>
    <w:rsid w:val="120724FA"/>
    <w:rsid w:val="1522712F"/>
    <w:rsid w:val="2AC663ED"/>
    <w:rsid w:val="2E4E42E0"/>
    <w:rsid w:val="4D37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keepNext/>
      <w:keepLines/>
      <w:spacing w:before="260" w:after="260" w:line="360" w:lineRule="auto"/>
      <w:outlineLvl w:val="2"/>
    </w:pPr>
    <w:rPr>
      <w:rFonts w:ascii="宋体" w:hAnsi="宋体" w:eastAsia="宋体" w:cs="宋体"/>
      <w:bCs/>
      <w:color w:val="000000" w:themeColor="text1"/>
      <w:sz w:val="24"/>
      <w:szCs w:val="21"/>
      <w:shd w:val="pct10" w:color="auto" w:fill="FFFFFF"/>
      <w14:textFill>
        <w14:solidFill>
          <w14:schemeClr w14:val="tx1"/>
        </w14:solidFill>
      </w14:textFill>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60" w:lineRule="exac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2022-10-21T11:22:00Z</dcterms:created>
  <dc:creator>常逸明</dc:creator>
  <cp:lastModifiedBy>AC</cp:lastModifiedBy>
  <dcterms:modified xsi:type="dcterms:W3CDTF">2024-04-17T08:27:14Z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EBF5215C9EDD409795E1EB5F65F48046</vt:lpwstr>
  </property>
</Properties>
</file>