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Lines="0" w:afterLines="0"/>
        <w:jc w:val="left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Lines="0"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color w:val="auto"/>
          <w:spacing w:val="8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pacing w:val="8"/>
          <w:sz w:val="44"/>
          <w:szCs w:val="44"/>
          <w:lang w:val="en-US" w:eastAsia="zh-CN"/>
        </w:rPr>
        <w:t>关于2024年度执业药师职业资格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color w:val="auto"/>
          <w:spacing w:val="8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pacing w:val="8"/>
          <w:sz w:val="44"/>
          <w:szCs w:val="44"/>
          <w:lang w:val="en-US" w:eastAsia="zh-CN"/>
        </w:rPr>
        <w:t>考试安排的说明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8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Style w:val="16"/>
          <w:rFonts w:hint="default" w:ascii="Times New Roman" w:hAnsi="Times New Roman" w:eastAsia="黑体" w:cs="Times New Roman"/>
          <w:color w:val="auto"/>
          <w:spacing w:val="2"/>
          <w:sz w:val="32"/>
          <w:szCs w:val="32"/>
          <w:highlight w:val="none"/>
          <w:u w:val="none"/>
          <w:lang w:val="en-US" w:eastAsia="zh-CN"/>
        </w:rPr>
        <w:t>一、考试形式和考试时间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16" w:firstLineChars="200"/>
        <w:jc w:val="both"/>
        <w:textAlignment w:val="auto"/>
        <w:rPr>
          <w:rFonts w:hint="default" w:ascii="Times New Roman" w:hAnsi="Times New Roman" w:eastAsia="仿宋_GB2312" w:cs="Times New Roman"/>
          <w:spacing w:val="-6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pacing w:val="-6"/>
          <w:sz w:val="32"/>
          <w:szCs w:val="32"/>
          <w:lang w:val="en-US" w:eastAsia="zh-CN"/>
        </w:rPr>
        <w:t>1.2024年度</w:t>
      </w:r>
      <w:r>
        <w:rPr>
          <w:rFonts w:hint="default" w:ascii="Times New Roman" w:hAnsi="Times New Roman" w:eastAsia="仿宋_GB2312" w:cs="Times New Roman"/>
          <w:spacing w:val="6"/>
          <w:sz w:val="32"/>
          <w:szCs w:val="32"/>
        </w:rPr>
        <w:t>执业药师职业资格考试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  <w:lang w:val="en-US" w:eastAsia="zh-CN"/>
        </w:rPr>
        <w:t>由纸笔考试调整为电子化考试（机考）。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2.《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</w:rPr>
        <w:t>药事管理与法规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》和《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</w:rPr>
        <w:t>药学（中药学）专业知识（一）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》科目的考试时间由9:00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－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11:3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0调整为8:30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－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:00；《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</w:rPr>
        <w:t>药学（中药学）综合知识与技能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》和《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</w:rPr>
        <w:t>药学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pacing w:val="-6"/>
          <w:sz w:val="32"/>
          <w:szCs w:val="32"/>
        </w:rPr>
        <w:t>（中药学）专业知识（二）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》科目的考试时间由14:00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－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16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:30调整为14:30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－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17:00。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bCs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color w:val="auto"/>
          <w:spacing w:val="0"/>
          <w:kern w:val="2"/>
          <w:sz w:val="32"/>
          <w:szCs w:val="32"/>
          <w:lang w:val="en-US" w:eastAsia="zh-CN" w:bidi="ar-SA"/>
        </w:rPr>
        <w:t>二、报考事项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1.不适用告知承诺制办理报考事项的、未选择告知承诺制方式办理报考事项的、撤回承诺的、免试部分科目的4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类报考人员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完成报名信息确认，经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报名所在地市人事考试机构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在线核查后进行缴费。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2.根据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人社厅函〔2015〕278号和粤发改规〔2019〕3号规定，考试科目均按每人每科66元收取。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三、考试大纲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left="0" w:firstLine="629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0"/>
          <w:sz w:val="32"/>
          <w:szCs w:val="32"/>
          <w:highlight w:val="none"/>
        </w:rPr>
        <w:t>2024年度执业药师职业资格考试大纲以《国家执业药师职业资格考试大纲（第八版·2024）》为准，见国家药品监督管理局执业药师资格认证中心网站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</w:rPr>
        <w:t>（http://www.cqlp.org/info/link.aspx?id=7215&amp;page=1）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四、考试有关事项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-4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 w:val="0"/>
          <w:bCs/>
          <w:kern w:val="2"/>
          <w:sz w:val="32"/>
          <w:szCs w:val="32"/>
          <w:lang w:val="en-US" w:eastAsia="zh-CN" w:bidi="ar-SA"/>
        </w:rPr>
        <w:t>1.</w:t>
      </w:r>
      <w:r>
        <w:rPr>
          <w:rFonts w:hint="default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该项考试考场实施封闭管理，各科目考场封闭时长均为</w:t>
      </w:r>
      <w:r>
        <w:rPr>
          <w:rFonts w:hint="default" w:ascii="Times New Roman" w:hAnsi="Times New Roman" w:eastAsia="仿宋_GB2312" w:cs="Times New Roman"/>
          <w:b w:val="0"/>
          <w:bCs/>
          <w:kern w:val="2"/>
          <w:sz w:val="32"/>
          <w:szCs w:val="32"/>
          <w:lang w:val="en-US" w:eastAsia="zh-CN" w:bidi="ar-SA"/>
        </w:rPr>
        <w:t>90</w:t>
      </w:r>
      <w:r>
        <w:rPr>
          <w:rFonts w:hint="default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分钟，考场封闭期间原则上不得交卷离场。</w:t>
      </w:r>
    </w:p>
    <w:p>
      <w:pPr>
        <w:widowControl/>
        <w:numPr>
          <w:ilvl w:val="0"/>
          <w:numId w:val="0"/>
        </w:numPr>
        <w:adjustRightInd w:val="0"/>
        <w:snapToGrid w:val="0"/>
        <w:spacing w:beforeLines="0" w:afterLines="0" w:line="240" w:lineRule="auto"/>
        <w:ind w:firstLine="616" w:firstLineChars="200"/>
        <w:jc w:val="both"/>
        <w:rPr>
          <w:rFonts w:hint="default" w:ascii="Times New Roman" w:hAnsi="Times New Roman" w:eastAsia="仿宋_GB2312" w:cs="Times New Roman"/>
          <w:spacing w:val="-6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-6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</w:rPr>
        <w:t>机考系统支持的输入法：中文（简体）-微软拼音输入法、中文（简体）-极点五笔输入法、中文（简体）-搜狗拼音输入法。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16" w:firstLineChars="200"/>
        <w:textAlignment w:val="auto"/>
        <w:rPr>
          <w:rFonts w:hint="default" w:ascii="Times New Roman" w:hAnsi="Times New Roman" w:eastAsia="仿宋_GB2312" w:cs="Times New Roman"/>
          <w:spacing w:val="-6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-6"/>
          <w:sz w:val="32"/>
          <w:szCs w:val="32"/>
          <w:lang w:val="en-US" w:eastAsia="zh-CN"/>
        </w:rPr>
        <w:t>3.考生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</w:rPr>
        <w:t>可登录中国人事考试网，利用模拟作答系统，提前熟悉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  <w:lang w:val="en-US" w:eastAsia="zh-CN"/>
        </w:rPr>
        <w:t>机考</w:t>
      </w:r>
      <w:r>
        <w:rPr>
          <w:rFonts w:hint="default" w:ascii="Times New Roman" w:hAnsi="Times New Roman" w:eastAsia="仿宋_GB2312" w:cs="Times New Roman"/>
          <w:spacing w:val="-6"/>
          <w:sz w:val="32"/>
          <w:szCs w:val="32"/>
        </w:rPr>
        <w:t>作答界面和考试流程，掌握计算器等工具的使用。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五、证书发放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/>
          <w:bCs/>
          <w:kern w:val="2"/>
          <w:sz w:val="32"/>
          <w:szCs w:val="32"/>
          <w:highlight w:val="none"/>
          <w:lang w:val="en-US" w:eastAsia="zh-CN" w:bidi="ar-SA"/>
        </w:rPr>
        <w:t>该项考试我省试点证书直邮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highlight w:val="none"/>
          <w:lang w:val="en-US" w:eastAsia="zh-CN" w:bidi="ar-SA"/>
        </w:rPr>
        <w:t>，合格人员可登录</w:t>
      </w:r>
      <w:r>
        <w:rPr>
          <w:rFonts w:ascii="Times New Roman" w:hAnsi="Times New Roman" w:eastAsia="仿宋_GB2312" w:cs="Times New Roman"/>
          <w:i w:val="0"/>
          <w:caps w:val="0"/>
          <w:color w:val="000000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广东人事考试网“广东省专业技术人员职业资格考试业务办理系统”</w:t>
      </w: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申请证书</w:t>
      </w:r>
      <w:r>
        <w:rPr>
          <w:rFonts w:ascii="Times New Roman" w:hAnsi="Times New Roman" w:eastAsia="仿宋_GB2312" w:cs="Times New Roman"/>
          <w:i w:val="0"/>
          <w:caps w:val="0"/>
          <w:color w:val="000000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直邮</w:t>
      </w: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（点击详见</w:t>
      </w:r>
      <w:r>
        <w:rPr>
          <w:rFonts w:hint="default" w:ascii="Times New Roman" w:hAnsi="Times New Roman" w:eastAsia="仿宋_GB2312" w:cs="Times New Roman"/>
          <w:b/>
          <w:bCs/>
          <w:i w:val="0"/>
          <w:caps w:val="0"/>
          <w:color w:val="000000"/>
          <w:spacing w:val="0"/>
          <w:kern w:val="2"/>
          <w:sz w:val="32"/>
          <w:szCs w:val="32"/>
          <w:highlight w:val="none"/>
          <w:u w:val="none"/>
          <w:shd w:val="clear" w:color="auto" w:fill="FFFFFF"/>
          <w:lang w:val="en-US" w:eastAsia="zh-CN" w:bidi="ar-SA"/>
        </w:rPr>
        <w:t>证书直邮服务须知</w:t>
      </w: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），申请时间为</w:t>
      </w:r>
      <w:r>
        <w:rPr>
          <w:rFonts w:ascii="Times New Roman" w:hAnsi="Times New Roman" w:eastAsia="仿宋_GB2312" w:cs="Times New Roman"/>
          <w:i w:val="0"/>
          <w:caps w:val="0"/>
          <w:color w:val="000000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自全科成绩合格人员名单公示之</w:t>
      </w: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日起12个</w:t>
      </w:r>
      <w:r>
        <w:rPr>
          <w:rFonts w:ascii="Times New Roman" w:hAnsi="Times New Roman" w:eastAsia="仿宋_GB2312" w:cs="Times New Roman"/>
          <w:i w:val="0"/>
          <w:caps w:val="0"/>
          <w:color w:val="000000"/>
          <w:spacing w:val="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工作日内。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highlight w:val="none"/>
          <w:lang w:val="en-US" w:eastAsia="zh-CN" w:bidi="ar-SA"/>
        </w:rPr>
        <w:t>其他未申请证书直邮的合格人员，其纸质证书由考生报名所在地市人事考试机构负责发放，具体发放时间将由报名所在地市人事考试机构通知。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合格人员可通过中国人事考试网（www.cpta.com.cn）的“证书查验”栏目查询资格证书办理进度及验证证书信息。</w:t>
      </w:r>
    </w:p>
    <w:p>
      <w:pPr>
        <w:tabs>
          <w:tab w:val="left" w:pos="851"/>
          <w:tab w:val="left" w:pos="1134"/>
        </w:tabs>
        <w:adjustRightInd w:val="0"/>
        <w:snapToGrid w:val="0"/>
        <w:spacing w:beforeLines="0" w:afterLines="0" w:line="240" w:lineRule="auto"/>
        <w:ind w:left="225" w:leftChars="107" w:right="0" w:rightChars="0" w:firstLine="755" w:firstLineChars="236"/>
        <w:rPr>
          <w:rFonts w:hint="default" w:ascii="Times New Roman" w:hAnsi="Times New Roman" w:eastAsia="仿宋_GB2312" w:cs="Times New Roman"/>
          <w:sz w:val="32"/>
          <w:szCs w:val="32"/>
        </w:rPr>
      </w:pPr>
    </w:p>
    <w:sectPr>
      <w:footerReference r:id="rId3" w:type="default"/>
      <w:pgSz w:w="11906" w:h="16838"/>
      <w:pgMar w:top="1440" w:right="1463" w:bottom="1440" w:left="1463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0"/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revisionView w:markup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zMmZiMDIxNWI1MWNjMjU3NGYxMzI3NDBmNWU3NzUifQ=="/>
  </w:docVars>
  <w:rsids>
    <w:rsidRoot w:val="00000000"/>
    <w:rsid w:val="069F260C"/>
    <w:rsid w:val="06C363CD"/>
    <w:rsid w:val="070344E1"/>
    <w:rsid w:val="08193CCE"/>
    <w:rsid w:val="08722DED"/>
    <w:rsid w:val="0A555D28"/>
    <w:rsid w:val="0E316A24"/>
    <w:rsid w:val="126837B1"/>
    <w:rsid w:val="17D93BD1"/>
    <w:rsid w:val="1BB42C4F"/>
    <w:rsid w:val="26311177"/>
    <w:rsid w:val="265E0B3A"/>
    <w:rsid w:val="289D20C4"/>
    <w:rsid w:val="2D8248CC"/>
    <w:rsid w:val="35AB6B9C"/>
    <w:rsid w:val="366741F1"/>
    <w:rsid w:val="37320B98"/>
    <w:rsid w:val="37A147F9"/>
    <w:rsid w:val="38704DA6"/>
    <w:rsid w:val="38FD7280"/>
    <w:rsid w:val="39D46BEB"/>
    <w:rsid w:val="3E740DEF"/>
    <w:rsid w:val="3F7550EF"/>
    <w:rsid w:val="3FB1448E"/>
    <w:rsid w:val="42505F42"/>
    <w:rsid w:val="42ED7867"/>
    <w:rsid w:val="434E3A0C"/>
    <w:rsid w:val="442D771B"/>
    <w:rsid w:val="451D63D7"/>
    <w:rsid w:val="457E2739"/>
    <w:rsid w:val="47182D4E"/>
    <w:rsid w:val="49356AA1"/>
    <w:rsid w:val="54244A97"/>
    <w:rsid w:val="56C27B0D"/>
    <w:rsid w:val="58643D49"/>
    <w:rsid w:val="5D7C52DE"/>
    <w:rsid w:val="671047C1"/>
    <w:rsid w:val="6A0B20D3"/>
    <w:rsid w:val="6FB9466D"/>
    <w:rsid w:val="7BF26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6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14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next w:val="3"/>
    <w:qFormat/>
    <w:uiPriority w:val="0"/>
    <w:pPr>
      <w:snapToGrid w:val="0"/>
      <w:jc w:val="left"/>
    </w:pPr>
    <w:rPr>
      <w:sz w:val="18"/>
      <w:szCs w:val="18"/>
    </w:rPr>
  </w:style>
  <w:style w:type="paragraph" w:styleId="3">
    <w:name w:val="Body Text First Indent 2"/>
    <w:basedOn w:val="4"/>
    <w:next w:val="1"/>
    <w:qFormat/>
    <w:uiPriority w:val="0"/>
    <w:pPr>
      <w:ind w:firstLine="420" w:firstLineChars="200"/>
      <w:jc w:val="both"/>
    </w:pPr>
    <w:rPr>
      <w:rFonts w:hAnsi="Calibri"/>
      <w:color w:val="000000"/>
    </w:rPr>
  </w:style>
  <w:style w:type="paragraph" w:styleId="4">
    <w:name w:val="Body Text Indent"/>
    <w:basedOn w:val="1"/>
    <w:unhideWhenUsed/>
    <w:qFormat/>
    <w:uiPriority w:val="99"/>
    <w:pPr>
      <w:spacing w:line="560" w:lineRule="exact"/>
      <w:ind w:firstLine="570"/>
    </w:pPr>
    <w:rPr>
      <w:rFonts w:ascii="宋体" w:hAnsi="宋体" w:cs="宋体"/>
      <w:spacing w:val="6"/>
      <w:sz w:val="28"/>
      <w:szCs w:val="28"/>
    </w:rPr>
  </w:style>
  <w:style w:type="paragraph" w:styleId="7">
    <w:name w:val="Body Text"/>
    <w:basedOn w:val="1"/>
    <w:next w:val="8"/>
    <w:qFormat/>
    <w:uiPriority w:val="0"/>
    <w:pPr>
      <w:spacing w:after="120"/>
    </w:pPr>
  </w:style>
  <w:style w:type="paragraph" w:styleId="8">
    <w:name w:val="Title"/>
    <w:basedOn w:val="1"/>
    <w:next w:val="4"/>
    <w:unhideWhenUsed/>
    <w:qFormat/>
    <w:uiPriority w:val="0"/>
    <w:pPr>
      <w:spacing w:before="240" w:after="60"/>
      <w:jc w:val="center"/>
      <w:outlineLvl w:val="0"/>
    </w:pPr>
    <w:rPr>
      <w:rFonts w:hint="default" w:ascii="Cambria" w:hAnsi="Cambria"/>
      <w:b/>
      <w:kern w:val="0"/>
      <w:sz w:val="32"/>
    </w:rPr>
  </w:style>
  <w:style w:type="paragraph" w:styleId="9">
    <w:name w:val="Plain Text"/>
    <w:basedOn w:val="1"/>
    <w:qFormat/>
    <w:uiPriority w:val="0"/>
    <w:rPr>
      <w:rFonts w:ascii="Courier New" w:hAnsi="Courier New" w:cs="Courier New"/>
      <w:sz w:val="20"/>
    </w:r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1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5">
    <w:name w:val="Strong"/>
    <w:basedOn w:val="14"/>
    <w:qFormat/>
    <w:uiPriority w:val="0"/>
    <w:rPr>
      <w:b/>
    </w:rPr>
  </w:style>
  <w:style w:type="character" w:styleId="16">
    <w:name w:val="Hyperlink"/>
    <w:basedOn w:val="14"/>
    <w:qFormat/>
    <w:uiPriority w:val="0"/>
    <w:rPr>
      <w:color w:val="0000FF"/>
      <w:u w:val="single"/>
    </w:rPr>
  </w:style>
  <w:style w:type="character" w:customStyle="1" w:styleId="17">
    <w:name w:val="NormalCharacter"/>
    <w:qFormat/>
    <w:uiPriority w:val="0"/>
    <w:rPr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12605</Words>
  <Characters>14894</Characters>
  <Lines>0</Lines>
  <Paragraphs>0</Paragraphs>
  <TotalTime>36</TotalTime>
  <ScaleCrop>false</ScaleCrop>
  <LinksUpToDate>false</LinksUpToDate>
  <CharactersWithSpaces>14940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2024-06-19T05:11:00Z</dcterms:created>
  <dc:creator>Administrator</dc:creator>
  <cp:lastModifiedBy>高彩玲</cp:lastModifiedBy>
  <dcterms:modified xsi:type="dcterms:W3CDTF">2024-06-27T08:47:46Z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853829AF56DC42BB80ABC6CE250895C8</vt:lpwstr>
  </property>
</Properties>
</file>