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2C8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32"/>
          <w:szCs w:val="32"/>
          <w:lang w:val="en-US" w:eastAsia="zh-CN"/>
        </w:rPr>
      </w:pPr>
      <w:bookmarkStart w:id="0" w:name="_GoBack"/>
      <w:r>
        <w:rPr>
          <w:rFonts w:hint="eastAsia" w:ascii="Times New Roman" w:hAnsi="Times New Roman" w:eastAsia="仿宋_GB2312" w:cs="Times New Roman"/>
          <w:sz w:val="32"/>
          <w:szCs w:val="32"/>
          <w:lang w:val="en-US" w:eastAsia="zh-CN"/>
        </w:rPr>
        <w:t>广州市第十一人民医院2024-2025年度医疗责任保险调研需求表</w:t>
      </w:r>
      <w:bookmarkEnd w:id="0"/>
    </w:p>
    <w:tbl>
      <w:tblPr>
        <w:tblStyle w:val="3"/>
        <w:tblW w:w="9865"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1488"/>
        <w:gridCol w:w="5239"/>
        <w:gridCol w:w="1188"/>
        <w:gridCol w:w="1454"/>
      </w:tblGrid>
      <w:tr w14:paraId="7357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9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1A29C2">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一、</w:t>
            </w:r>
            <w:r>
              <w:rPr>
                <w:rFonts w:hint="default" w:ascii="仿宋_GB2312" w:hAnsi="宋体" w:eastAsia="仿宋_GB2312" w:cs="仿宋_GB2312"/>
                <w:b/>
                <w:bCs/>
                <w:i w:val="0"/>
                <w:iCs w:val="0"/>
                <w:color w:val="000000"/>
                <w:kern w:val="0"/>
                <w:sz w:val="24"/>
                <w:szCs w:val="24"/>
                <w:u w:val="none"/>
                <w:lang w:val="en-US" w:eastAsia="zh-CN" w:bidi="ar"/>
              </w:rPr>
              <w:t>基础资质要求</w:t>
            </w:r>
            <w:r>
              <w:rPr>
                <w:rFonts w:hint="eastAsia" w:ascii="仿宋_GB2312" w:hAnsi="宋体" w:eastAsia="仿宋_GB2312" w:cs="仿宋_GB2312"/>
                <w:b/>
                <w:bCs/>
                <w:i w:val="0"/>
                <w:iCs w:val="0"/>
                <w:color w:val="000000"/>
                <w:kern w:val="0"/>
                <w:sz w:val="24"/>
                <w:szCs w:val="24"/>
                <w:u w:val="none"/>
                <w:lang w:val="en-US" w:eastAsia="zh-CN" w:bidi="ar"/>
              </w:rPr>
              <w:t>（根据要求提供相关证明材料）</w:t>
            </w:r>
          </w:p>
        </w:tc>
      </w:tr>
      <w:tr w14:paraId="5359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EF95">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D0EA">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项目</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25E7">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要求</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0003">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是否符合要求</w:t>
            </w:r>
          </w:p>
          <w:p w14:paraId="1DB0764E">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（是/否）</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891">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其他不同</w:t>
            </w:r>
          </w:p>
          <w:p w14:paraId="37DC58B6">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情况说明</w:t>
            </w:r>
          </w:p>
        </w:tc>
      </w:tr>
      <w:tr w14:paraId="0878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D8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AF2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具有独立承担民事责任的能力</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292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在中国境内注册的、在法律上和财务上独立并能合法运作、具有独立订立合同的权力，经国家金融监督管理机构批准在中华人民共和国境内设立和营业的，并依法被核定许可经营责任保险业务的保险公司。</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7949">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0A85">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23C3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D2CD">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CB22">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有依法缴纳税收和社会保障资金的良好记录</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4223">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有依法缴纳税收和社会保障资金的良好记录（提供截止日前6个月内任意1个月依法缴纳税收和社会保障资金的相关材料。如依法免税或不需要缴纳社会保障资金的，提供相应证明材料）</w:t>
            </w:r>
            <w:r>
              <w:rPr>
                <w:rFonts w:hint="eastAsia" w:ascii="仿宋_GB2312" w:hAnsi="宋体" w:eastAsia="仿宋_GB2312" w:cs="仿宋_GB2312"/>
                <w:i w:val="0"/>
                <w:iCs w:val="0"/>
                <w:color w:val="auto"/>
                <w:kern w:val="0"/>
                <w:sz w:val="24"/>
                <w:szCs w:val="24"/>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107D">
            <w:pPr>
              <w:keepNext w:val="0"/>
              <w:keepLines w:val="0"/>
              <w:widowControl/>
              <w:suppressLineNumbers w:val="0"/>
              <w:jc w:val="left"/>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26A9">
            <w:pPr>
              <w:keepNext w:val="0"/>
              <w:keepLines w:val="0"/>
              <w:widowControl/>
              <w:suppressLineNumbers w:val="0"/>
              <w:jc w:val="left"/>
              <w:textAlignment w:val="center"/>
              <w:rPr>
                <w:rFonts w:hint="default" w:ascii="仿宋_GB2312" w:hAnsi="宋体" w:eastAsia="仿宋_GB2312" w:cs="仿宋_GB2312"/>
                <w:i w:val="0"/>
                <w:iCs w:val="0"/>
                <w:color w:val="auto"/>
                <w:kern w:val="0"/>
                <w:sz w:val="24"/>
                <w:szCs w:val="24"/>
                <w:u w:val="none"/>
                <w:lang w:val="en-US" w:eastAsia="zh-CN" w:bidi="ar"/>
              </w:rPr>
            </w:pPr>
          </w:p>
        </w:tc>
      </w:tr>
      <w:tr w14:paraId="7AAE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69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57E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参加采购活动前3年内，在经营活动中没有重大违法记录</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C88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仿宋_GB2312" w:hAnsi="宋体" w:eastAsia="仿宋_GB2312" w:cs="仿宋_GB2312"/>
                <w:i w:val="0"/>
                <w:iCs w:val="0"/>
                <w:color w:val="000000"/>
                <w:kern w:val="0"/>
                <w:sz w:val="24"/>
                <w:szCs w:val="24"/>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1ADB">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AD52">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56C4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A99E">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DB1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信用记录</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91E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被列入“信用中国”网站（www.creditchina.gov.cn）“记录失信被执行人或重大税收违法案件当事人名单（即税收违法黑名单）或环境保护、知识产权等领域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r>
              <w:rPr>
                <w:rFonts w:hint="eastAsia" w:ascii="仿宋_GB2312" w:hAnsi="宋体" w:eastAsia="仿宋_GB2312" w:cs="仿宋_GB2312"/>
                <w:i w:val="0"/>
                <w:iCs w:val="0"/>
                <w:color w:val="000000"/>
                <w:kern w:val="0"/>
                <w:sz w:val="24"/>
                <w:szCs w:val="24"/>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204">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30B">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38226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7891">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BF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本项目的特定资格要求</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0DB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为经国家金融监督管理机构批准在中华人民共和国境内设立和营业的，并依法被核定许可经营责任保险业务的保险公司或其分支机构（提供营业执照和《经营保险业务许可证》）复印件加盖公章；分支机构投标的，须为市级分公司及以上级别机构；属于同一法人单位的保险公司只能一家机构参加本项目</w:t>
            </w:r>
            <w:r>
              <w:rPr>
                <w:rFonts w:hint="eastAsia" w:ascii="仿宋_GB2312" w:hAnsi="宋体" w:eastAsia="仿宋_GB2312" w:cs="仿宋_GB2312"/>
                <w:i w:val="0"/>
                <w:iCs w:val="0"/>
                <w:color w:val="000000"/>
                <w:kern w:val="0"/>
                <w:sz w:val="24"/>
                <w:szCs w:val="24"/>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687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F41F">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5764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709">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841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落实政府采购政策需满足的资格要求</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07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本项目不属于专门面向中小企业采购的项目。</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4514">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642">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575B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FF4A">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DE4F">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其他要求</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DBD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本项目不接受联合体投标。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9EF3">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CBB1">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618F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9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4153F">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二、</w:t>
            </w:r>
            <w:r>
              <w:rPr>
                <w:rFonts w:hint="default" w:ascii="仿宋_GB2312" w:hAnsi="宋体" w:eastAsia="仿宋_GB2312" w:cs="仿宋_GB2312"/>
                <w:b/>
                <w:bCs/>
                <w:i w:val="0"/>
                <w:iCs w:val="0"/>
                <w:color w:val="000000"/>
                <w:kern w:val="0"/>
                <w:sz w:val="24"/>
                <w:szCs w:val="24"/>
                <w:u w:val="none"/>
                <w:lang w:val="en-US" w:eastAsia="zh-CN" w:bidi="ar"/>
              </w:rPr>
              <w:t>医疗责任保险服务要求</w:t>
            </w:r>
            <w:r>
              <w:rPr>
                <w:rFonts w:hint="eastAsia" w:ascii="仿宋_GB2312" w:hAnsi="宋体" w:eastAsia="仿宋_GB2312" w:cs="仿宋_GB2312"/>
                <w:b/>
                <w:bCs/>
                <w:i w:val="0"/>
                <w:iCs w:val="0"/>
                <w:color w:val="000000"/>
                <w:kern w:val="0"/>
                <w:sz w:val="24"/>
                <w:szCs w:val="24"/>
                <w:u w:val="none"/>
                <w:lang w:val="en-US" w:eastAsia="zh-CN" w:bidi="ar"/>
              </w:rPr>
              <w:t>（*号内容为实质性响应条款）</w:t>
            </w:r>
          </w:p>
        </w:tc>
      </w:tr>
      <w:tr w14:paraId="2126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9FC">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FB13">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项目</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E816">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具体内容</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0C1D">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是否完全响应</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3C70">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差异内容</w:t>
            </w:r>
          </w:p>
        </w:tc>
      </w:tr>
      <w:tr w14:paraId="1E09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3E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6F4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*投保人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671B">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广州市干部和人才健康管理中心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8B20">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476E">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11370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97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E6B">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*被保险人</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828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1、广州市第十一人民医院</w:t>
            </w:r>
          </w:p>
          <w:p w14:paraId="7C0F1A7C">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2、广州市干部和人才健康管理中心</w:t>
            </w:r>
          </w:p>
          <w:p w14:paraId="0488D9C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3、广州市公职人员心理健康服务中心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07A7">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EA55">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62D77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E92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D154">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*被保险人地址</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AB0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广州市黄埔区长岭路109号、广州市越秀区应元路九龙街26号101房、30号103房及30号之一整幢</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CBA8">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9C36">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45A2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54B64">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9EC8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医疗责任险</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28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医疗损害：年度累计赔偿限额100万元，每次事故赔偿限额40万元，包括每人精神损害赔偿限额，并计算在每人赔偿限额之内。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B229">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3867">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772A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124FD">
            <w:pPr>
              <w:jc w:val="center"/>
              <w:rPr>
                <w:rFonts w:hint="default" w:ascii="仿宋_GB2312" w:hAnsi="宋体" w:eastAsia="仿宋_GB2312" w:cs="仿宋_GB2312"/>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FEDC">
            <w:pPr>
              <w:jc w:val="left"/>
              <w:rPr>
                <w:rFonts w:hint="default" w:ascii="仿宋_GB2312" w:hAnsi="宋体" w:eastAsia="仿宋_GB2312" w:cs="仿宋_GB2312"/>
                <w:i w:val="0"/>
                <w:iCs w:val="0"/>
                <w:color w:val="000000"/>
                <w:sz w:val="24"/>
                <w:szCs w:val="24"/>
                <w:u w:val="none"/>
              </w:rPr>
            </w:pP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33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法律费用：年度累计赔偿限额20万元，每次事故赔偿限额5万元。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C9D0">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D0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1ED4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AEC3">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206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附加医务人员遭受伤害责任保险</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DF0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年度累计赔偿限额100万元。</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每人赔偿限额40万元，其中，每人医疗费用赔偿限额40万元。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A50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E1A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645AD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5BE8">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148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附加外请医务人员医疗责任保险</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A8B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年度累计赔偿限额100万元。</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每次事故赔偿限额40万元。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26B0">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6C8E">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7DB6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6570">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D1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附加进修医务人员医疗责任保险</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1BD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年度累计赔偿限额100万元。</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每次事故赔偿限额40万元。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6DA4">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95D7">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0341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7998">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6C5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附加医疗机构场所责任保险</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E0B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年度累计赔偿限额100万元。</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每次事故赔偿限额40万元。</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64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6B66">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3C9F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9811">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221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赔偿限额</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433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年度累计赔偿限额100万元，每次事故赔偿限额40万元，包括每人精神损害赔偿限额，并计算在每人赔偿限额之内。</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附加险的赔偿限额包含在主险赔偿限额之内。</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法律费用年度累计赔偿限额20万元，每次事故赔偿限额5万元，赔偿限额不包括在主险赔偿限额之内。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2F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4F5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4BF3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7F0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2949">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免赔条件约定</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CD4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无免赔。</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451F">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275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5CAF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93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DFE9">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投保人员</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9EB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院内具有执业资格证的医务人员，共</w:t>
            </w:r>
            <w:r>
              <w:rPr>
                <w:rFonts w:hint="default" w:ascii="仿宋_GB2312" w:hAnsi="宋体" w:eastAsia="仿宋_GB2312" w:cs="仿宋_GB2312"/>
                <w:i w:val="0"/>
                <w:iCs w:val="0"/>
                <w:color w:val="000000"/>
                <w:kern w:val="0"/>
                <w:sz w:val="24"/>
                <w:szCs w:val="24"/>
                <w:highlight w:val="none"/>
                <w:u w:val="none"/>
                <w:lang w:val="en-US" w:eastAsia="zh-CN" w:bidi="ar"/>
              </w:rPr>
              <w:t>计2</w:t>
            </w:r>
            <w:r>
              <w:rPr>
                <w:rFonts w:hint="eastAsia" w:ascii="仿宋_GB2312" w:hAnsi="宋体" w:eastAsia="仿宋_GB2312" w:cs="仿宋_GB2312"/>
                <w:i w:val="0"/>
                <w:iCs w:val="0"/>
                <w:color w:val="000000"/>
                <w:kern w:val="0"/>
                <w:sz w:val="24"/>
                <w:szCs w:val="24"/>
                <w:highlight w:val="none"/>
                <w:u w:val="none"/>
                <w:lang w:val="en-US" w:eastAsia="zh-CN" w:bidi="ar"/>
              </w:rPr>
              <w:t>35</w:t>
            </w:r>
            <w:r>
              <w:rPr>
                <w:rFonts w:hint="default" w:ascii="仿宋_GB2312" w:hAnsi="宋体" w:eastAsia="仿宋_GB2312" w:cs="仿宋_GB2312"/>
                <w:i w:val="0"/>
                <w:iCs w:val="0"/>
                <w:color w:val="000000"/>
                <w:kern w:val="0"/>
                <w:sz w:val="24"/>
                <w:szCs w:val="24"/>
                <w:highlight w:val="none"/>
                <w:u w:val="none"/>
                <w:lang w:val="en-US" w:eastAsia="zh-CN" w:bidi="ar"/>
              </w:rPr>
              <w:t>人</w:t>
            </w:r>
            <w:r>
              <w:rPr>
                <w:rFonts w:hint="default" w:ascii="仿宋_GB2312" w:hAnsi="宋体" w:eastAsia="仿宋_GB2312" w:cs="仿宋_GB2312"/>
                <w:i w:val="0"/>
                <w:iCs w:val="0"/>
                <w:color w:val="000000"/>
                <w:kern w:val="0"/>
                <w:sz w:val="24"/>
                <w:szCs w:val="24"/>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321D">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23B2">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66B7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42D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8CDC">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投保床位</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D52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综合门诊楼对外开放病房床位，共计42张。</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6EF6">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A7FE">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4DD7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3B5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93D2">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体检业务特别约定</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F0D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职业病体检、健康体检，纳入保险责任范围。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E6C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1CFD">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68A8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5F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4A17">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公平分担损失保险特别约定</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113F">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医务人员从事与其诊疗科目、医务人员执业资格相符的诊疗活动中造成患者人身损害，患者和被保险人对损害的发生都没有过错，依照法院判决、仲裁裁决或保险人认可的调解协议，应由被保险人给予患方的适当经济补偿，保险人按照约定赔偿。累计责任限额及每次事故赔偿限额为保费的30%，赔偿限额包含在主险赔偿限额之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4176">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DA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5549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F61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B8C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一万元以下案件快速处理特别约定</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B0A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对于赔偿金额在人民币1万元以下（含1万元）的医疗纠纷，被保险人有权通过自行处理与患方达成和解，但亦不因此而排除被保险人通过其他合法途径处理此类医疗纠纷的权利。被保险人通过自行和解方式与患方达成赔偿协议后，保险人应根据此赔偿协议进行保险赔付。通过自行和解方式处理此类案件的赔偿金额累计不超过保费的20%，自行和解次数不限。</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E3D7">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8A4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6099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4B3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505A">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实习生特别约定</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EBF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与院方签订实习协议的实习生，经指导医师同意并按照指导医师的要求从事诊疗活动，纳入保险责任范围。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05E">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674E">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76BA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4A2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A80">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注册空档期特别约定</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EA3">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受聘医务人员在注册空档期出险的，属于保险责任范围。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EBC">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A8D7">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253B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589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r>
              <w:rPr>
                <w:rFonts w:hint="eastAsia" w:ascii="仿宋_GB2312" w:hAnsi="宋体" w:eastAsia="仿宋_GB2312" w:cs="仿宋_GB2312"/>
                <w:i w:val="0"/>
                <w:iCs w:val="0"/>
                <w:color w:val="000000"/>
                <w:kern w:val="0"/>
                <w:sz w:val="24"/>
                <w:szCs w:val="24"/>
                <w:u w:val="none"/>
                <w:lang w:val="en-US" w:eastAsia="zh-CN" w:bidi="ar"/>
              </w:rPr>
              <w:t>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FBAC">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后续治疗费特别约定</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B36">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在保险期限内发生的保险事故结案后，患方如因后续治疗再次提起赔偿请求，经法院判决或仲裁裁决确定应由被保险人继续承担的医疗损害赔偿费用以及因患方再次提起赔偿请求而产生的应由被保险人承担的法律费用，纳入保险责任范围。</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7E22">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FE3F">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56F7C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9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D7A8CC">
            <w:pPr>
              <w:keepNext w:val="0"/>
              <w:keepLines w:val="0"/>
              <w:widowControl/>
              <w:suppressLineNumbers w:val="0"/>
              <w:jc w:val="left"/>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三、</w:t>
            </w:r>
            <w:r>
              <w:rPr>
                <w:rFonts w:hint="default" w:ascii="仿宋_GB2312" w:hAnsi="宋体" w:eastAsia="仿宋_GB2312" w:cs="仿宋_GB2312"/>
                <w:b/>
                <w:bCs/>
                <w:i w:val="0"/>
                <w:iCs w:val="0"/>
                <w:color w:val="000000"/>
                <w:kern w:val="0"/>
                <w:sz w:val="24"/>
                <w:szCs w:val="24"/>
                <w:u w:val="none"/>
                <w:lang w:val="en-US" w:eastAsia="zh-CN" w:bidi="ar"/>
              </w:rPr>
              <w:t>附加服务要求</w:t>
            </w:r>
          </w:p>
        </w:tc>
      </w:tr>
      <w:tr w14:paraId="24E9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1B57">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D210">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项目</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EAB8">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要求</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B099">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是否完全响应</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F430">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差异内容</w:t>
            </w:r>
          </w:p>
        </w:tc>
      </w:tr>
      <w:tr w14:paraId="028F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99E6">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03C7">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承保方案</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311">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b w:val="0"/>
                <w:bCs w:val="0"/>
                <w:i w:val="0"/>
                <w:iCs w:val="0"/>
                <w:color w:val="000000"/>
                <w:kern w:val="0"/>
                <w:sz w:val="24"/>
                <w:szCs w:val="24"/>
                <w:u w:val="none"/>
                <w:lang w:val="en-US" w:eastAsia="zh-CN" w:bidi="ar"/>
              </w:rPr>
              <w:t>提供</w:t>
            </w:r>
            <w:r>
              <w:rPr>
                <w:rFonts w:hint="default" w:ascii="仿宋_GB2312" w:hAnsi="宋体" w:eastAsia="仿宋_GB2312" w:cs="仿宋_GB2312"/>
                <w:i w:val="0"/>
                <w:iCs w:val="0"/>
                <w:color w:val="000000"/>
                <w:kern w:val="0"/>
                <w:sz w:val="24"/>
                <w:szCs w:val="24"/>
                <w:u w:val="none"/>
                <w:lang w:val="en-US" w:eastAsia="zh-CN" w:bidi="ar"/>
              </w:rPr>
              <w:t>完整的医疗责任险承保方案，包括但不限于：公司介绍、保险方案</w:t>
            </w:r>
            <w:r>
              <w:rPr>
                <w:rFonts w:hint="eastAsia" w:ascii="仿宋_GB2312" w:hAnsi="宋体" w:eastAsia="仿宋_GB2312" w:cs="仿宋_GB2312"/>
                <w:i w:val="0"/>
                <w:iCs w:val="0"/>
                <w:color w:val="000000"/>
                <w:kern w:val="0"/>
                <w:sz w:val="24"/>
                <w:szCs w:val="24"/>
                <w:u w:val="none"/>
                <w:lang w:val="en-US" w:eastAsia="zh-CN" w:bidi="ar"/>
              </w:rPr>
              <w:t>（含投保费）</w:t>
            </w:r>
            <w:r>
              <w:rPr>
                <w:rFonts w:hint="default" w:ascii="仿宋_GB2312" w:hAnsi="宋体" w:eastAsia="仿宋_GB2312" w:cs="仿宋_GB2312"/>
                <w:i w:val="0"/>
                <w:iCs w:val="0"/>
                <w:color w:val="000000"/>
                <w:kern w:val="0"/>
                <w:sz w:val="24"/>
                <w:szCs w:val="24"/>
                <w:u w:val="none"/>
                <w:lang w:val="en-US" w:eastAsia="zh-CN" w:bidi="ar"/>
              </w:rPr>
              <w:t>、特色服务等内容。如有开展医疗责任险承保、理赔服务的经验需提供合同或保单复印件等有效证明材料。</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CD22">
            <w:pPr>
              <w:keepNext w:val="0"/>
              <w:keepLines w:val="0"/>
              <w:widowControl/>
              <w:suppressLineNumbers w:val="0"/>
              <w:jc w:val="left"/>
              <w:textAlignment w:val="center"/>
              <w:rPr>
                <w:rFonts w:hint="default" w:ascii="仿宋_GB2312" w:hAnsi="宋体" w:eastAsia="仿宋_GB2312" w:cs="仿宋_GB2312"/>
                <w:b w:val="0"/>
                <w:bCs w:val="0"/>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0EC5">
            <w:pPr>
              <w:keepNext w:val="0"/>
              <w:keepLines w:val="0"/>
              <w:widowControl/>
              <w:suppressLineNumbers w:val="0"/>
              <w:jc w:val="left"/>
              <w:textAlignment w:val="center"/>
              <w:rPr>
                <w:rFonts w:hint="default" w:ascii="仿宋_GB2312" w:hAnsi="宋体" w:eastAsia="仿宋_GB2312" w:cs="仿宋_GB2312"/>
                <w:b w:val="0"/>
                <w:bCs w:val="0"/>
                <w:i w:val="0"/>
                <w:iCs w:val="0"/>
                <w:color w:val="000000"/>
                <w:kern w:val="0"/>
                <w:sz w:val="24"/>
                <w:szCs w:val="24"/>
                <w:u w:val="none"/>
                <w:lang w:val="en-US" w:eastAsia="zh-CN" w:bidi="ar"/>
              </w:rPr>
            </w:pPr>
          </w:p>
        </w:tc>
      </w:tr>
      <w:tr w14:paraId="3A44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360F">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ED91">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理赔方案</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F6A3">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提供清晰的医责险理赔服务方案，方案详实，具体可行，包括但不限于理赔时效承诺、案件处理流程、理赔单证等。</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B91D">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1A96">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6027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7CD">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85BA">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理赔时效</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F2D3">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在保险责任明确、资料齐全的前提下，对结案赔付时效提供承诺：</w:t>
            </w:r>
            <w:r>
              <w:rPr>
                <w:rFonts w:hint="default" w:ascii="仿宋_GB2312" w:hAnsi="宋体" w:eastAsia="仿宋_GB2312" w:cs="仿宋_GB2312"/>
                <w:i w:val="0"/>
                <w:iCs w:val="0"/>
                <w:color w:val="000000"/>
                <w:kern w:val="0"/>
                <w:sz w:val="24"/>
                <w:szCs w:val="24"/>
                <w:highlight w:val="none"/>
                <w:u w:val="none"/>
                <w:lang w:val="en-US" w:eastAsia="zh-CN" w:bidi="ar"/>
              </w:rPr>
              <w:br w:type="textWrapping"/>
            </w:r>
            <w:r>
              <w:rPr>
                <w:rFonts w:hint="default" w:ascii="仿宋_GB2312" w:hAnsi="宋体" w:eastAsia="仿宋_GB2312" w:cs="仿宋_GB2312"/>
                <w:i w:val="0"/>
                <w:iCs w:val="0"/>
                <w:color w:val="000000"/>
                <w:kern w:val="0"/>
                <w:sz w:val="24"/>
                <w:szCs w:val="24"/>
                <w:highlight w:val="none"/>
                <w:u w:val="none"/>
                <w:lang w:val="en-US" w:eastAsia="zh-CN" w:bidi="ar"/>
              </w:rPr>
              <w:t>（1）1万元以下（含1万元）的赔案，3个工作日；（2）1—5万元（不含1万元，含5万元）的赔案，5个工作日；（3）5—20万元（不含5万元，含20万元）的赔案</w:t>
            </w:r>
            <w:r>
              <w:rPr>
                <w:rFonts w:hint="eastAsia" w:ascii="仿宋_GB2312" w:hAnsi="宋体" w:eastAsia="仿宋_GB2312" w:cs="仿宋_GB2312"/>
                <w:i w:val="0"/>
                <w:iCs w:val="0"/>
                <w:color w:val="000000"/>
                <w:kern w:val="0"/>
                <w:sz w:val="24"/>
                <w:szCs w:val="24"/>
                <w:highlight w:val="none"/>
                <w:u w:val="none"/>
                <w:lang w:val="en-US" w:eastAsia="zh-CN" w:bidi="ar"/>
              </w:rPr>
              <w:t>，7个工作日</w:t>
            </w:r>
            <w:r>
              <w:rPr>
                <w:rFonts w:hint="default" w:ascii="仿宋_GB2312" w:hAnsi="宋体" w:eastAsia="仿宋_GB2312" w:cs="仿宋_GB2312"/>
                <w:i w:val="0"/>
                <w:iCs w:val="0"/>
                <w:color w:val="000000"/>
                <w:kern w:val="0"/>
                <w:sz w:val="24"/>
                <w:szCs w:val="24"/>
                <w:highlight w:val="none"/>
                <w:u w:val="none"/>
                <w:lang w:val="en-US" w:eastAsia="zh-CN" w:bidi="ar"/>
              </w:rPr>
              <w:t>；（4）20—30万元（不含20万元，含30万元）的赔案，10个工作日；（5）30万元以上（不含30万元）的赔案在15个工作日。</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897F">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1119">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r>
      <w:tr w14:paraId="53D3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3E02">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DFDD">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服务人员配置</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569">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理赔服务人员配置完善合理，人员数量充足，人员构成科学合理，职责分工明确，具有医学、保险、法律相关专业背景人员组成</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指派至少两名服务人员配合医院成立服务小组，为医院提供专项服务。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A5F6">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B289">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47D7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99AD">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A32F">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保险期限内调整保费</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1C56">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当实际开放床位数或实际医务人员数变动（含增加或减少）在10%以内的不进行增减保费。</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87D0">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7061">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r w14:paraId="4969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FBE">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5D8D">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服务便捷性</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0476">
            <w:pPr>
              <w:keepNext w:val="0"/>
              <w:keepLines w:val="0"/>
              <w:widowControl/>
              <w:suppressLineNumbers w:val="0"/>
              <w:jc w:val="left"/>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服务营业网点至服务地点（</w:t>
            </w:r>
            <w:r>
              <w:rPr>
                <w:rStyle w:val="6"/>
                <w:rFonts w:hAnsi="宋体"/>
                <w:lang w:val="en-US" w:eastAsia="zh-CN" w:bidi="ar"/>
              </w:rPr>
              <w:t>广州市黄埔区长岭路109号）响</w:t>
            </w:r>
            <w:r>
              <w:rPr>
                <w:rFonts w:hint="default" w:ascii="仿宋_GB2312" w:hAnsi="宋体" w:eastAsia="仿宋_GB2312" w:cs="仿宋_GB2312"/>
                <w:i w:val="0"/>
                <w:iCs w:val="0"/>
                <w:color w:val="000000"/>
                <w:kern w:val="0"/>
                <w:sz w:val="24"/>
                <w:szCs w:val="24"/>
                <w:u w:val="none"/>
                <w:lang w:val="en-US" w:eastAsia="zh-CN" w:bidi="ar"/>
              </w:rPr>
              <w:t>应到达时间在3个小时以内。</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849F">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37A8">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p>
        </w:tc>
      </w:tr>
    </w:tbl>
    <w:p w14:paraId="1D23404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WU2MTJhNTk5YjA4MzA4Yzg2MGE3NGUxY2FlMDkifQ=="/>
    <w:docVar w:name="KSO_WPS_MARK_KEY" w:val="a8082afc-614e-40f5-a470-8fab9ad5b394"/>
  </w:docVars>
  <w:rsids>
    <w:rsidRoot w:val="5D3A0D2E"/>
    <w:rsid w:val="095D1CC0"/>
    <w:rsid w:val="16895D48"/>
    <w:rsid w:val="31261F6D"/>
    <w:rsid w:val="34700D6D"/>
    <w:rsid w:val="387A7E48"/>
    <w:rsid w:val="3C277297"/>
    <w:rsid w:val="4065662C"/>
    <w:rsid w:val="4CCA3D59"/>
    <w:rsid w:val="4FA255DF"/>
    <w:rsid w:val="56EE6F21"/>
    <w:rsid w:val="5D215BDB"/>
    <w:rsid w:val="5D3A0D2E"/>
    <w:rsid w:val="646C2923"/>
    <w:rsid w:val="6AAF2FC5"/>
    <w:rsid w:val="6FEF5D05"/>
    <w:rsid w:val="7665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2556</Words>
  <Characters>2709</Characters>
  <Lines>0</Lines>
  <Paragraphs>0</Paragraphs>
  <TotalTime>1</TotalTime>
  <ScaleCrop>false</ScaleCrop>
  <LinksUpToDate>false</LinksUpToDate>
  <CharactersWithSpaces>2709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2023-11-10T01:03:00Z</dcterms:created>
  <dc:creator>Dell</dc:creator>
  <cp:lastModifiedBy>刘昭鹏</cp:lastModifiedBy>
  <dcterms:modified xsi:type="dcterms:W3CDTF">2024-10-17T07:45:32Z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19C882403CA04C9380C664345B257CEC_13</vt:lpwstr>
  </property>
</Properties>
</file>