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0EB07B">
      <w:pPr>
        <w:pStyle w:val="14"/>
        <w:ind w:firstLine="0" w:firstLineChars="0"/>
        <w:rPr>
          <w:rFonts w:hint="eastAsia" w:ascii="仿宋" w:hAnsi="仿宋" w:eastAsia="仿宋" w:cs="仿宋"/>
          <w:b/>
          <w:sz w:val="36"/>
          <w:szCs w:val="36"/>
          <w:lang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b/>
          <w:sz w:val="36"/>
          <w:szCs w:val="36"/>
          <w:lang w:eastAsia="zh-CN"/>
        </w:rPr>
        <w:t>附件</w:t>
      </w:r>
    </w:p>
    <w:p w14:paraId="6C6C5DFC">
      <w:pPr>
        <w:pStyle w:val="14"/>
        <w:ind w:firstLine="0" w:firstLineChars="0"/>
        <w:jc w:val="center"/>
        <w:rPr>
          <w:rFonts w:ascii="仿宋" w:hAnsi="仿宋" w:eastAsia="仿宋" w:cs="仿宋"/>
          <w:b/>
          <w:sz w:val="36"/>
          <w:szCs w:val="36"/>
        </w:rPr>
      </w:pPr>
      <w:r>
        <w:rPr>
          <w:rFonts w:hint="eastAsia" w:ascii="仿宋" w:hAnsi="仿宋" w:eastAsia="仿宋" w:cs="仿宋"/>
          <w:b/>
          <w:sz w:val="36"/>
          <w:szCs w:val="36"/>
          <w:lang w:eastAsia="zh-CN"/>
        </w:rPr>
        <w:drawing>
          <wp:inline distT="0" distB="0" distL="114300" distR="114300">
            <wp:extent cx="2781300" cy="2533650"/>
            <wp:effectExtent l="0" t="0" r="0" b="0"/>
            <wp:docPr id="1" name="图片 1" descr="45a97fd6ed66bde5d5ea8e837cc39c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45a97fd6ed66bde5d5ea8e837cc39c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781300" cy="2533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576D26">
      <w:pPr>
        <w:pStyle w:val="14"/>
        <w:ind w:firstLine="0" w:firstLineChars="0"/>
        <w:jc w:val="center"/>
        <w:rPr>
          <w:rFonts w:hint="eastAsia" w:ascii="微软雅黑" w:hAnsi="微软雅黑" w:eastAsia="微软雅黑" w:cs="仿宋"/>
          <w:b/>
          <w:sz w:val="44"/>
          <w:szCs w:val="44"/>
          <w:lang w:eastAsia="zh-CN"/>
        </w:rPr>
      </w:pPr>
      <w:r>
        <w:rPr>
          <w:rFonts w:hint="eastAsia" w:ascii="微软雅黑" w:hAnsi="微软雅黑" w:eastAsia="微软雅黑" w:cs="仿宋"/>
          <w:b/>
          <w:sz w:val="44"/>
          <w:szCs w:val="44"/>
          <w:lang w:eastAsia="zh-CN"/>
        </w:rPr>
        <w:t>广州市干部和人才健康管理中心</w:t>
      </w:r>
    </w:p>
    <w:p w14:paraId="03567719">
      <w:pPr>
        <w:pStyle w:val="14"/>
        <w:ind w:firstLine="0" w:firstLineChars="0"/>
        <w:jc w:val="center"/>
        <w:rPr>
          <w:rFonts w:hint="eastAsia" w:ascii="微软雅黑" w:hAnsi="微软雅黑" w:eastAsia="微软雅黑" w:cs="仿宋"/>
          <w:b/>
          <w:sz w:val="44"/>
          <w:szCs w:val="44"/>
          <w:lang w:eastAsia="zh-CN"/>
        </w:rPr>
      </w:pPr>
      <w:r>
        <w:rPr>
          <w:rFonts w:hint="eastAsia" w:ascii="微软雅黑" w:hAnsi="微软雅黑" w:eastAsia="微软雅黑" w:cs="仿宋"/>
          <w:b/>
          <w:sz w:val="44"/>
          <w:szCs w:val="44"/>
          <w:lang w:eastAsia="zh-CN"/>
        </w:rPr>
        <w:t>心理健康测评工具开发定制服务项目</w:t>
      </w:r>
    </w:p>
    <w:p w14:paraId="1FE82C85">
      <w:pPr>
        <w:pStyle w:val="14"/>
        <w:ind w:firstLine="0" w:firstLineChars="0"/>
        <w:jc w:val="center"/>
        <w:rPr>
          <w:rFonts w:ascii="微软雅黑" w:hAnsi="微软雅黑" w:eastAsia="微软雅黑" w:cs="仿宋"/>
          <w:b/>
          <w:sz w:val="44"/>
          <w:szCs w:val="44"/>
        </w:rPr>
      </w:pPr>
      <w:r>
        <w:rPr>
          <w:rFonts w:hint="eastAsia" w:ascii="微软雅黑" w:hAnsi="微软雅黑" w:eastAsia="微软雅黑" w:cs="仿宋"/>
          <w:b/>
          <w:sz w:val="44"/>
          <w:szCs w:val="44"/>
        </w:rPr>
        <w:t>需求</w:t>
      </w:r>
    </w:p>
    <w:p w14:paraId="315C2AAE">
      <w:pPr>
        <w:pStyle w:val="14"/>
        <w:ind w:firstLine="0" w:firstLineChars="0"/>
        <w:jc w:val="center"/>
        <w:rPr>
          <w:rFonts w:ascii="仿宋" w:hAnsi="仿宋" w:eastAsia="仿宋" w:cs="仿宋"/>
          <w:b/>
          <w:sz w:val="18"/>
          <w:szCs w:val="18"/>
        </w:rPr>
      </w:pPr>
    </w:p>
    <w:p w14:paraId="1F8E89AC">
      <w:pPr>
        <w:pStyle w:val="14"/>
        <w:ind w:firstLine="0" w:firstLineChars="0"/>
        <w:rPr>
          <w:rFonts w:ascii="仿宋" w:hAnsi="仿宋" w:eastAsia="仿宋" w:cs="仿宋"/>
          <w:b/>
          <w:sz w:val="36"/>
          <w:szCs w:val="36"/>
        </w:rPr>
      </w:pPr>
    </w:p>
    <w:p w14:paraId="02B027E0">
      <w:pPr>
        <w:pStyle w:val="14"/>
        <w:ind w:firstLine="0" w:firstLineChars="0"/>
        <w:rPr>
          <w:rFonts w:ascii="仿宋" w:hAnsi="仿宋" w:eastAsia="仿宋" w:cs="仿宋"/>
          <w:b/>
          <w:sz w:val="36"/>
          <w:szCs w:val="36"/>
        </w:rPr>
      </w:pPr>
    </w:p>
    <w:p w14:paraId="7CA37295">
      <w:pPr>
        <w:pStyle w:val="14"/>
        <w:ind w:left="360" w:firstLine="0" w:firstLineChars="0"/>
        <w:jc w:val="center"/>
        <w:rPr>
          <w:rFonts w:ascii="仿宋" w:hAnsi="仿宋" w:eastAsia="仿宋" w:cs="仿宋"/>
          <w:b/>
          <w:sz w:val="36"/>
          <w:szCs w:val="36"/>
        </w:rPr>
      </w:pPr>
    </w:p>
    <w:p w14:paraId="0500EA05">
      <w:pPr>
        <w:pStyle w:val="14"/>
        <w:ind w:left="360" w:firstLine="0" w:firstLineChars="0"/>
        <w:jc w:val="center"/>
        <w:rPr>
          <w:rFonts w:ascii="仿宋" w:hAnsi="仿宋" w:eastAsia="仿宋" w:cs="仿宋"/>
          <w:b/>
          <w:sz w:val="36"/>
          <w:szCs w:val="36"/>
        </w:rPr>
      </w:pPr>
    </w:p>
    <w:p w14:paraId="2A82B216">
      <w:r>
        <w:br w:type="page"/>
      </w:r>
    </w:p>
    <w:p w14:paraId="2E62B779">
      <w:pPr>
        <w:pStyle w:val="2"/>
        <w:ind w:firstLine="643" w:firstLineChars="200"/>
      </w:pPr>
      <w:r>
        <w:rPr>
          <w:rFonts w:hint="eastAsia"/>
          <w:lang w:eastAsia="zh-CN"/>
        </w:rPr>
        <w:t>一</w:t>
      </w:r>
      <w:r>
        <w:rPr>
          <w:rFonts w:hint="eastAsia"/>
        </w:rPr>
        <w:t>、需求内容</w:t>
      </w:r>
    </w:p>
    <w:p w14:paraId="3EEFADC5">
      <w:pPr>
        <w:pStyle w:val="3"/>
        <w:ind w:firstLine="643" w:firstLineChars="200"/>
        <w:rPr>
          <w:rFonts w:hint="eastAsia"/>
        </w:rPr>
      </w:pPr>
      <w:r>
        <w:rPr>
          <w:rFonts w:hint="eastAsia"/>
        </w:rPr>
        <w:t>（一）</w:t>
      </w:r>
      <w:r>
        <w:rPr>
          <w:rFonts w:hint="eastAsia"/>
          <w:lang w:eastAsia="zh-CN"/>
        </w:rPr>
        <w:t>功能</w:t>
      </w:r>
      <w:r>
        <w:rPr>
          <w:rFonts w:hint="eastAsia"/>
        </w:rPr>
        <w:t>参数</w:t>
      </w:r>
    </w:p>
    <w:p w14:paraId="0ACBBE77"/>
    <w:tbl>
      <w:tblPr>
        <w:tblStyle w:val="10"/>
        <w:tblW w:w="8302" w:type="dxa"/>
        <w:tblInd w:w="103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1"/>
        <w:gridCol w:w="750"/>
        <w:gridCol w:w="715"/>
        <w:gridCol w:w="704"/>
        <w:gridCol w:w="5372"/>
      </w:tblGrid>
      <w:tr w14:paraId="51DFE4E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  <w:vAlign w:val="center"/>
          </w:tcPr>
          <w:p w14:paraId="533FD68D">
            <w:pPr>
              <w:pStyle w:val="14"/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序号</w:t>
            </w:r>
          </w:p>
        </w:tc>
        <w:tc>
          <w:tcPr>
            <w:tcW w:w="750" w:type="dxa"/>
            <w:vAlign w:val="center"/>
          </w:tcPr>
          <w:p w14:paraId="6AF651F9">
            <w:pPr>
              <w:pStyle w:val="14"/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名称</w:t>
            </w:r>
          </w:p>
        </w:tc>
        <w:tc>
          <w:tcPr>
            <w:tcW w:w="715" w:type="dxa"/>
            <w:vAlign w:val="center"/>
          </w:tcPr>
          <w:p w14:paraId="35B94D7A">
            <w:pPr>
              <w:pStyle w:val="14"/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单位</w:t>
            </w:r>
          </w:p>
        </w:tc>
        <w:tc>
          <w:tcPr>
            <w:tcW w:w="704" w:type="dxa"/>
            <w:vAlign w:val="center"/>
          </w:tcPr>
          <w:p w14:paraId="1E04B69D">
            <w:pPr>
              <w:pStyle w:val="14"/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数量</w:t>
            </w:r>
          </w:p>
        </w:tc>
        <w:tc>
          <w:tcPr>
            <w:tcW w:w="5372" w:type="dxa"/>
            <w:vAlign w:val="center"/>
          </w:tcPr>
          <w:p w14:paraId="41CE051F">
            <w:pPr>
              <w:pStyle w:val="14"/>
              <w:spacing w:line="360" w:lineRule="auto"/>
              <w:ind w:firstLine="0" w:firstLineChars="0"/>
              <w:jc w:val="center"/>
              <w:rPr>
                <w:rFonts w:ascii="仿宋" w:hAnsi="仿宋" w:eastAsia="仿宋" w:cs="仿宋"/>
                <w:kern w:val="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/>
              </w:rPr>
              <w:t>功能和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</w:rPr>
              <w:t>技术参数</w:t>
            </w:r>
          </w:p>
        </w:tc>
      </w:tr>
      <w:tr w14:paraId="708723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  <w:vAlign w:val="center"/>
          </w:tcPr>
          <w:p w14:paraId="6E6F3113">
            <w:pPr>
              <w:pStyle w:val="14"/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750" w:type="dxa"/>
            <w:vAlign w:val="center"/>
          </w:tcPr>
          <w:p w14:paraId="6228E1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公职人员心理</w:t>
            </w: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健康测评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体系</w:t>
            </w:r>
          </w:p>
        </w:tc>
        <w:tc>
          <w:tcPr>
            <w:tcW w:w="715" w:type="dxa"/>
            <w:vAlign w:val="center"/>
          </w:tcPr>
          <w:p w14:paraId="080D8013">
            <w:pPr>
              <w:pStyle w:val="14"/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/>
              </w:rPr>
              <w:t>套</w:t>
            </w:r>
          </w:p>
        </w:tc>
        <w:tc>
          <w:tcPr>
            <w:tcW w:w="704" w:type="dxa"/>
            <w:vAlign w:val="center"/>
          </w:tcPr>
          <w:p w14:paraId="5632E141">
            <w:pPr>
              <w:widowControl/>
              <w:spacing w:line="360" w:lineRule="auto"/>
              <w:jc w:val="center"/>
              <w:textAlignment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5372" w:type="dxa"/>
            <w:vAlign w:val="center"/>
          </w:tcPr>
          <w:p w14:paraId="3909338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需进行相关文献分析并形成综述，参考文献要求90%以上为近5年发表中英文论文，总数不低于30篇。</w:t>
            </w:r>
          </w:p>
          <w:p w14:paraId="2EF070A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需进行集中调研访谈，在广州市内抽取相关代表性样本不低于100人，形成访谈文本并进行质性分析。</w:t>
            </w:r>
          </w:p>
          <w:p w14:paraId="26742C1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根据文献研究和访谈分析，形成理论模型和测评体系框架。选取符合公职人员工作生活场景的因子，比如身心健康、压力、情绪、人际关系、职业发展、心理危机筛查、婚姻家庭等方面编制相应的题目，形成因子库和题目库。</w:t>
            </w:r>
          </w:p>
          <w:p w14:paraId="35F45C3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项目分析与修订，开展至少一轮预测试后再正式施测，完成题目修剪和信效度检验。克隆巴赫α系数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原则上</w:t>
            </w: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达到0.8以上，结构系数CFI和NFI达到0.9以上，误差系数SRMR和RMSEA小于等于0.08。</w:t>
            </w:r>
          </w:p>
          <w:p w14:paraId="0616A71F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正式施测后形成分数常模，原则上按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性别分层，规模不少于3000人。</w:t>
            </w:r>
          </w:p>
          <w:p w14:paraId="4C3694CC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适当采用计算机自适应技术、项目反应理论、认知诊断、内隐联想等前沿的心理测评技术，与现代测评接轨，减少受测者作答的题目数量和时间的同时保证信效度，提升测试体验。</w:t>
            </w:r>
          </w:p>
          <w:p w14:paraId="1838AF5A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编制个体报告和团体报告模板，要求内容详实，兼具科学性和易读性。呈现结果并解读，图文排版优美简洁，提供针对性提升建议和有关解决方案。</w:t>
            </w:r>
          </w:p>
          <w:p w14:paraId="0E8552A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最终以文档形式交付，并附上详细开发技术细节确保可以开发至线上测评系统。</w:t>
            </w:r>
          </w:p>
          <w:p w14:paraId="21D1F7C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组织权威专家学者、行业协会进行内容成果论证并开展发布会。</w:t>
            </w:r>
          </w:p>
        </w:tc>
      </w:tr>
      <w:tr w14:paraId="09D1D5B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61" w:type="dxa"/>
            <w:vAlign w:val="center"/>
          </w:tcPr>
          <w:p w14:paraId="6EF17F48">
            <w:pPr>
              <w:pStyle w:val="14"/>
              <w:spacing w:line="360" w:lineRule="auto"/>
              <w:ind w:firstLine="0" w:firstLineChars="0"/>
              <w:jc w:val="center"/>
              <w:rPr>
                <w:rFonts w:hint="default" w:ascii="仿宋" w:hAns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750" w:type="dxa"/>
            <w:vAlign w:val="center"/>
          </w:tcPr>
          <w:p w14:paraId="45EB8C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公职人员</w:t>
            </w:r>
            <w:r>
              <w:rPr>
                <w:rFonts w:hint="eastAsia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领导力测评</w:t>
            </w:r>
            <w:r>
              <w:rPr>
                <w:rFonts w:hint="default" w:ascii="仿宋" w:hAnsi="仿宋" w:eastAsia="仿宋" w:cs="仿宋"/>
                <w:kern w:val="2"/>
                <w:sz w:val="24"/>
                <w:szCs w:val="24"/>
                <w:lang w:val="en-US" w:eastAsia="zh-CN" w:bidi="ar-SA"/>
              </w:rPr>
              <w:t>体系</w:t>
            </w:r>
          </w:p>
        </w:tc>
        <w:tc>
          <w:tcPr>
            <w:tcW w:w="715" w:type="dxa"/>
            <w:vAlign w:val="center"/>
          </w:tcPr>
          <w:p w14:paraId="294697FC">
            <w:pPr>
              <w:pStyle w:val="14"/>
              <w:spacing w:line="360" w:lineRule="auto"/>
              <w:ind w:firstLine="0" w:firstLineChars="0"/>
              <w:jc w:val="center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/>
              </w:rPr>
              <w:t>套</w:t>
            </w:r>
          </w:p>
        </w:tc>
        <w:tc>
          <w:tcPr>
            <w:tcW w:w="704" w:type="dxa"/>
            <w:vAlign w:val="center"/>
          </w:tcPr>
          <w:p w14:paraId="7AC17D55">
            <w:pPr>
              <w:widowControl/>
              <w:spacing w:line="360" w:lineRule="auto"/>
              <w:jc w:val="center"/>
              <w:textAlignment w:val="center"/>
              <w:rPr>
                <w:rFonts w:hint="default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1</w:t>
            </w:r>
          </w:p>
        </w:tc>
        <w:tc>
          <w:tcPr>
            <w:tcW w:w="5372" w:type="dxa"/>
            <w:shd w:val="clear" w:color="auto" w:fill="auto"/>
            <w:vAlign w:val="center"/>
          </w:tcPr>
          <w:p w14:paraId="4E169CE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需进行相关文献分析并形成综述，参考文献要求90%以上为近5年发表中英文论文，总数不低于30篇。</w:t>
            </w:r>
          </w:p>
          <w:p w14:paraId="3B4D6C4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需进行需求调研访谈，在广州市内抽取相关代表性样本不低于20人，形成访谈文本并进行质性分析。</w:t>
            </w:r>
          </w:p>
          <w:p w14:paraId="5E6558A1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根据文献研究和访谈分析，形成理论模型和测评体系框架，形成因子库和题目库。</w:t>
            </w:r>
          </w:p>
          <w:p w14:paraId="01FCCA7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项目分析与修订，开展至少一轮预测试后再正式施测，完成题目修剪和信效度、区分度检验。克隆巴赫α系数原则上达到0.8以上，结构系数CFI和NFI达到0.9以上，误差系数SRMR和RMSEA小于等于0.08。</w:t>
            </w:r>
          </w:p>
          <w:p w14:paraId="2108FED4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正式施测后形成分数常模，原则上按</w:t>
            </w:r>
            <w:r>
              <w:rPr>
                <w:rFonts w:hint="eastAsia" w:ascii="仿宋" w:hAnsi="仿宋" w:eastAsia="仿宋" w:cs="仿宋"/>
                <w:color w:val="000000" w:themeColor="text1"/>
                <w:kern w:val="0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  <w:t>性别分层，规模不少于3000人。</w:t>
            </w:r>
          </w:p>
          <w:p w14:paraId="52CF5BD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适当采用计算机自适应技术、项目反应理论、认知诊断、内隐联想等前沿的心理测评技术，与现代测评接轨，减少受测者作答的题目数量和时间的同时保证信效度，提升测试体验。</w:t>
            </w:r>
          </w:p>
          <w:p w14:paraId="5CBFAD75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编制个体报告，要求内容详实，兼具科学性和易读性。呈现结果并解读，图文排版优美简洁，提供针对性提升建议。</w:t>
            </w:r>
          </w:p>
          <w:p w14:paraId="0FF926F0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最终以文档形式交付，并附上详细开发技术细节确保可以开发至线上测评系统。</w:t>
            </w:r>
          </w:p>
          <w:p w14:paraId="23B9827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textAlignment w:val="auto"/>
              <w:rPr>
                <w:rFonts w:hint="default" w:ascii="Calibri" w:hAnsi="Calibri" w:eastAsia="宋体" w:cs="宋体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kern w:val="0"/>
                <w:sz w:val="24"/>
                <w:szCs w:val="24"/>
                <w:lang w:val="en-US" w:eastAsia="zh-CN" w:bidi="ar-SA"/>
              </w:rPr>
              <w:t>组织权威专家学者、行业协会进行内容成果论证并开展发布会。</w:t>
            </w:r>
          </w:p>
        </w:tc>
      </w:tr>
    </w:tbl>
    <w:p w14:paraId="2F62C36A">
      <w:pPr>
        <w:pStyle w:val="3"/>
        <w:spacing w:after="0" w:afterAutospacing="0"/>
        <w:ind w:firstLine="643" w:firstLineChars="200"/>
        <w:rPr>
          <w:rFonts w:hint="eastAsia"/>
        </w:rPr>
      </w:pPr>
      <w:r>
        <w:rPr>
          <w:rFonts w:hint="eastAsia"/>
        </w:rPr>
        <w:t>（二）售后服务及其他要求</w:t>
      </w:r>
    </w:p>
    <w:p w14:paraId="35183C13">
      <w:pPr>
        <w:pStyle w:val="17"/>
        <w:spacing w:beforeAutospacing="0" w:line="480" w:lineRule="exact"/>
        <w:ind w:firstLine="560" w:firstLineChars="200"/>
        <w:jc w:val="both"/>
        <w:rPr>
          <w:rFonts w:ascii="仿宋_GB2312" w:eastAsia="仿宋_GB2312"/>
          <w:sz w:val="28"/>
          <w:szCs w:val="21"/>
        </w:rPr>
      </w:pPr>
      <w:r>
        <w:rPr>
          <w:rFonts w:hint="eastAsia" w:ascii="仿宋_GB2312" w:eastAsia="仿宋_GB2312"/>
          <w:sz w:val="28"/>
          <w:szCs w:val="21"/>
          <w:lang w:val="en-US" w:eastAsia="zh-CN"/>
        </w:rPr>
        <w:t>1.</w:t>
      </w:r>
      <w:r>
        <w:rPr>
          <w:rFonts w:ascii="仿宋_GB2312" w:eastAsia="仿宋_GB2312"/>
          <w:sz w:val="28"/>
          <w:szCs w:val="28"/>
        </w:rPr>
        <w:t>培训要求</w:t>
      </w:r>
    </w:p>
    <w:p w14:paraId="7DC56915">
      <w:pPr>
        <w:pStyle w:val="17"/>
        <w:spacing w:line="480" w:lineRule="exact"/>
        <w:ind w:firstLine="560" w:firstLineChars="200"/>
        <w:jc w:val="both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1</w:t>
      </w:r>
      <w:r>
        <w:rPr>
          <w:rFonts w:hint="eastAsia" w:ascii="仿宋_GB2312" w:eastAsia="仿宋_GB2312"/>
          <w:sz w:val="28"/>
          <w:szCs w:val="28"/>
          <w:lang w:eastAsia="zh-CN"/>
        </w:rPr>
        <w:t>）</w:t>
      </w:r>
      <w:r>
        <w:rPr>
          <w:rFonts w:ascii="仿宋_GB2312" w:eastAsia="仿宋_GB2312"/>
          <w:sz w:val="28"/>
          <w:szCs w:val="28"/>
        </w:rPr>
        <w:t>为了保证</w:t>
      </w:r>
      <w:r>
        <w:rPr>
          <w:rFonts w:hint="eastAsia" w:ascii="仿宋_GB2312" w:eastAsia="仿宋_GB2312"/>
          <w:sz w:val="28"/>
          <w:szCs w:val="28"/>
          <w:lang w:eastAsia="zh-CN"/>
        </w:rPr>
        <w:t>量表工具</w:t>
      </w:r>
      <w:r>
        <w:rPr>
          <w:rFonts w:ascii="仿宋_GB2312" w:eastAsia="仿宋_GB2312"/>
          <w:sz w:val="28"/>
          <w:szCs w:val="28"/>
        </w:rPr>
        <w:t>顺利上线运行，需要准备并提供完整的培训计划，对医院技术人员进行相关的培训，同时需要负责培训的实施，包括培训文档的准备。</w:t>
      </w:r>
    </w:p>
    <w:p w14:paraId="195D5613">
      <w:pPr>
        <w:pStyle w:val="17"/>
        <w:spacing w:line="480" w:lineRule="exact"/>
        <w:ind w:firstLine="560" w:firstLineChars="200"/>
        <w:jc w:val="both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2</w:t>
      </w:r>
      <w:r>
        <w:rPr>
          <w:rFonts w:hint="eastAsia" w:ascii="仿宋_GB2312" w:eastAsia="仿宋_GB2312"/>
          <w:sz w:val="28"/>
          <w:szCs w:val="28"/>
          <w:lang w:eastAsia="zh-CN"/>
        </w:rPr>
        <w:t>）</w:t>
      </w:r>
      <w:r>
        <w:rPr>
          <w:rFonts w:ascii="仿宋_GB2312" w:eastAsia="仿宋_GB2312"/>
          <w:sz w:val="28"/>
          <w:szCs w:val="28"/>
        </w:rPr>
        <w:t>对与</w:t>
      </w:r>
      <w:r>
        <w:rPr>
          <w:rFonts w:hint="eastAsia" w:ascii="仿宋_GB2312" w:eastAsia="仿宋_GB2312"/>
          <w:sz w:val="28"/>
          <w:szCs w:val="28"/>
          <w:lang w:eastAsia="zh-CN"/>
        </w:rPr>
        <w:t>系统</w:t>
      </w:r>
      <w:r>
        <w:rPr>
          <w:rFonts w:ascii="仿宋_GB2312" w:eastAsia="仿宋_GB2312"/>
          <w:sz w:val="28"/>
          <w:szCs w:val="28"/>
        </w:rPr>
        <w:t>的相关维护技术，需要提供必要的培训与维护技术转移手段，保证能够将其传授与</w:t>
      </w:r>
      <w:r>
        <w:rPr>
          <w:rFonts w:hint="eastAsia" w:ascii="仿宋_GB2312" w:eastAsia="仿宋_GB2312"/>
          <w:sz w:val="28"/>
          <w:szCs w:val="28"/>
          <w:lang w:eastAsia="zh-CN"/>
        </w:rPr>
        <w:t>我方</w:t>
      </w:r>
      <w:r>
        <w:rPr>
          <w:rFonts w:ascii="仿宋_GB2312" w:eastAsia="仿宋_GB2312"/>
          <w:sz w:val="28"/>
          <w:szCs w:val="28"/>
        </w:rPr>
        <w:t>IT技术人员。</w:t>
      </w:r>
    </w:p>
    <w:p w14:paraId="59A3270D">
      <w:pPr>
        <w:pStyle w:val="17"/>
        <w:spacing w:line="480" w:lineRule="exact"/>
        <w:ind w:firstLine="560" w:firstLineChars="200"/>
        <w:jc w:val="both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1"/>
          <w:lang w:val="en-US" w:eastAsia="zh-CN"/>
        </w:rPr>
        <w:t>2.</w:t>
      </w:r>
      <w:r>
        <w:rPr>
          <w:rFonts w:ascii="仿宋_GB2312" w:eastAsia="仿宋_GB2312"/>
          <w:sz w:val="28"/>
          <w:szCs w:val="28"/>
        </w:rPr>
        <w:t>服务期限及维保内容：</w:t>
      </w:r>
    </w:p>
    <w:p w14:paraId="631DF72F">
      <w:pPr>
        <w:pStyle w:val="17"/>
        <w:spacing w:line="480" w:lineRule="exact"/>
        <w:ind w:firstLine="560" w:firstLineChars="200"/>
        <w:jc w:val="both"/>
        <w:rPr>
          <w:rFonts w:ascii="仿宋_GB2312" w:eastAsia="仿宋_GB2312"/>
          <w:sz w:val="28"/>
          <w:szCs w:val="28"/>
        </w:rPr>
      </w:pPr>
      <w:r>
        <w:rPr>
          <w:rFonts w:ascii="仿宋_GB2312" w:eastAsia="仿宋_GB2312"/>
          <w:sz w:val="28"/>
          <w:szCs w:val="28"/>
        </w:rPr>
        <w:t>1</w:t>
      </w:r>
      <w:r>
        <w:rPr>
          <w:rFonts w:hint="eastAsia" w:ascii="仿宋_GB2312" w:eastAsia="仿宋_GB2312"/>
          <w:sz w:val="28"/>
          <w:szCs w:val="28"/>
          <w:lang w:eastAsia="zh-CN"/>
        </w:rPr>
        <w:t>）</w:t>
      </w:r>
      <w:r>
        <w:rPr>
          <w:rFonts w:ascii="仿宋_GB2312" w:eastAsia="仿宋_GB2312"/>
          <w:sz w:val="28"/>
          <w:szCs w:val="28"/>
        </w:rPr>
        <w:t>本次项目自验收合格之日起，免费</w:t>
      </w:r>
      <w:r>
        <w:rPr>
          <w:rFonts w:hint="eastAsia" w:ascii="仿宋_GB2312" w:eastAsia="仿宋_GB2312"/>
          <w:sz w:val="28"/>
          <w:szCs w:val="28"/>
          <w:lang w:eastAsia="zh-CN"/>
        </w:rPr>
        <w:t>维护</w:t>
      </w:r>
      <w:r>
        <w:rPr>
          <w:rFonts w:ascii="仿宋_GB2312" w:eastAsia="仿宋_GB2312"/>
          <w:sz w:val="28"/>
          <w:szCs w:val="28"/>
        </w:rPr>
        <w:t>1年；</w:t>
      </w:r>
    </w:p>
    <w:p w14:paraId="6A5E0066">
      <w:pPr>
        <w:pStyle w:val="17"/>
        <w:spacing w:afterAutospacing="0" w:line="480" w:lineRule="exact"/>
        <w:ind w:firstLine="560" w:firstLineChars="200"/>
        <w:jc w:val="both"/>
        <w:rPr>
          <w:rFonts w:ascii="仿宋_GB2312" w:eastAsia="仿宋_GB2312"/>
          <w:sz w:val="28"/>
          <w:szCs w:val="28"/>
        </w:rPr>
      </w:pPr>
      <w:r>
        <w:rPr>
          <w:rFonts w:hint="eastAsia" w:ascii="仿宋_GB2312" w:eastAsia="仿宋_GB2312"/>
          <w:sz w:val="28"/>
          <w:szCs w:val="28"/>
          <w:lang w:val="en-US" w:eastAsia="zh-CN"/>
        </w:rPr>
        <w:t>2</w:t>
      </w:r>
      <w:r>
        <w:rPr>
          <w:rFonts w:hint="eastAsia" w:ascii="仿宋_GB2312" w:eastAsia="仿宋_GB2312"/>
          <w:sz w:val="28"/>
          <w:szCs w:val="28"/>
          <w:lang w:eastAsia="zh-CN"/>
        </w:rPr>
        <w:t>）</w:t>
      </w:r>
      <w:r>
        <w:rPr>
          <w:rFonts w:ascii="仿宋_GB2312" w:eastAsia="仿宋_GB2312"/>
          <w:sz w:val="28"/>
          <w:szCs w:val="28"/>
        </w:rPr>
        <w:t>在实施及</w:t>
      </w:r>
      <w:r>
        <w:rPr>
          <w:rFonts w:hint="eastAsia" w:ascii="仿宋_GB2312" w:eastAsia="仿宋_GB2312"/>
          <w:sz w:val="28"/>
          <w:szCs w:val="28"/>
          <w:lang w:eastAsia="zh-CN"/>
        </w:rPr>
        <w:t>维护</w:t>
      </w:r>
      <w:r>
        <w:rPr>
          <w:rFonts w:ascii="仿宋_GB2312" w:eastAsia="仿宋_GB2312"/>
          <w:sz w:val="28"/>
          <w:szCs w:val="28"/>
        </w:rPr>
        <w:t>期内，满足</w:t>
      </w:r>
      <w:r>
        <w:rPr>
          <w:rFonts w:hint="eastAsia" w:ascii="仿宋_GB2312" w:eastAsia="仿宋_GB2312"/>
          <w:sz w:val="28"/>
          <w:szCs w:val="28"/>
          <w:lang w:eastAsia="zh-CN"/>
        </w:rPr>
        <w:t>测评工具开发至测评系统等</w:t>
      </w:r>
      <w:r>
        <w:rPr>
          <w:rFonts w:ascii="仿宋_GB2312" w:eastAsia="仿宋_GB2312"/>
          <w:sz w:val="28"/>
          <w:szCs w:val="28"/>
        </w:rPr>
        <w:t>需求；</w:t>
      </w:r>
    </w:p>
    <w:p w14:paraId="7F840BD4">
      <w:pPr>
        <w:pStyle w:val="2"/>
        <w:spacing w:before="0" w:beforeAutospacing="0" w:after="0" w:afterAutospacing="0" w:line="240" w:lineRule="auto"/>
        <w:ind w:firstLine="560" w:firstLineChars="200"/>
        <w:rPr>
          <w:rFonts w:hint="eastAsia" w:ascii="仿宋_GB2312" w:eastAsia="仿宋_GB2312" w:hAnsiTheme="minorHAnsi" w:cstheme="minorBidi"/>
          <w:b w:val="0"/>
          <w:bCs w:val="0"/>
          <w:sz w:val="28"/>
          <w:szCs w:val="28"/>
          <w:lang w:val="en-US" w:eastAsia="zh-Hans" w:bidi="ar-SA"/>
        </w:rPr>
      </w:pPr>
      <w:r>
        <w:rPr>
          <w:rFonts w:hint="eastAsia" w:ascii="仿宋_GB2312" w:eastAsia="仿宋_GB2312" w:hAnsiTheme="minorHAnsi" w:cstheme="minorBidi"/>
          <w:b w:val="0"/>
          <w:bCs w:val="0"/>
          <w:sz w:val="28"/>
          <w:szCs w:val="28"/>
          <w:lang w:val="en-US" w:eastAsia="zh-CN" w:bidi="ar-SA"/>
        </w:rPr>
        <w:t>3）</w:t>
      </w:r>
      <w:r>
        <w:rPr>
          <w:rFonts w:hint="eastAsia" w:ascii="仿宋_GB2312" w:eastAsia="仿宋_GB2312" w:hAnsiTheme="minorHAnsi" w:cstheme="minorBidi"/>
          <w:b w:val="0"/>
          <w:bCs w:val="0"/>
          <w:sz w:val="28"/>
          <w:szCs w:val="28"/>
          <w:lang w:val="en-US" w:eastAsia="zh-Hans" w:bidi="ar-SA"/>
        </w:rPr>
        <w:t>在质保期内提供7×24小时技术支持、定期巡检服务等。</w:t>
      </w:r>
    </w:p>
    <w:p w14:paraId="44B0423D">
      <w:pPr>
        <w:pStyle w:val="17"/>
        <w:spacing w:line="480" w:lineRule="exact"/>
        <w:ind w:firstLine="560" w:firstLineChars="200"/>
        <w:jc w:val="both"/>
        <w:rPr>
          <w:rFonts w:hint="eastAsia" w:ascii="仿宋_GB2312" w:eastAsia="仿宋_GB2312"/>
          <w:color w:val="FF0000"/>
          <w:sz w:val="28"/>
          <w:szCs w:val="28"/>
          <w:lang w:eastAsia="zh-CN"/>
        </w:rPr>
      </w:pPr>
      <w:r>
        <w:rPr>
          <w:rFonts w:hint="eastAsia" w:ascii="仿宋_GB2312" w:eastAsia="仿宋_GB2312"/>
          <w:color w:val="FF0000"/>
          <w:sz w:val="28"/>
          <w:szCs w:val="21"/>
          <w:lang w:val="en-US" w:eastAsia="zh-CN"/>
        </w:rPr>
        <w:t>3.</w:t>
      </w:r>
      <w:r>
        <w:rPr>
          <w:rFonts w:hint="eastAsia" w:ascii="仿宋_GB2312" w:eastAsia="仿宋_GB2312"/>
          <w:color w:val="FF0000"/>
          <w:sz w:val="28"/>
          <w:szCs w:val="28"/>
          <w:lang w:eastAsia="zh-CN"/>
        </w:rPr>
        <w:t>版权归属</w:t>
      </w:r>
    </w:p>
    <w:p w14:paraId="098CFD66">
      <w:pPr>
        <w:pStyle w:val="2"/>
        <w:spacing w:before="0" w:beforeAutospacing="0" w:after="0" w:afterAutospacing="0" w:line="240" w:lineRule="auto"/>
        <w:ind w:firstLine="560" w:firstLineChars="200"/>
        <w:rPr>
          <w:rFonts w:hint="eastAsia" w:ascii="仿宋_GB2312" w:eastAsia="仿宋_GB2312" w:hAnsiTheme="minorHAnsi" w:cstheme="minorBidi"/>
          <w:b w:val="0"/>
          <w:bCs w:val="0"/>
          <w:color w:val="FF0000"/>
          <w:sz w:val="28"/>
          <w:szCs w:val="28"/>
          <w:lang w:val="en-US" w:eastAsia="zh-CN" w:bidi="ar-SA"/>
        </w:rPr>
      </w:pPr>
      <w:r>
        <w:rPr>
          <w:rFonts w:hint="eastAsia" w:ascii="仿宋_GB2312" w:eastAsia="仿宋_GB2312" w:hAnsiTheme="minorHAnsi" w:cstheme="minorBidi"/>
          <w:b w:val="0"/>
          <w:bCs w:val="0"/>
          <w:color w:val="FF0000"/>
          <w:sz w:val="28"/>
          <w:szCs w:val="28"/>
          <w:lang w:val="en-US" w:eastAsia="zh-CN" w:bidi="ar-SA"/>
        </w:rPr>
        <w:t>测评工具版权归本中心终身所有，受法律保护，任何其他单位和个人未经本中心授权，不得使用。</w:t>
      </w:r>
    </w:p>
    <w:p w14:paraId="64156B03">
      <w:pPr>
        <w:pStyle w:val="2"/>
        <w:ind w:firstLine="643" w:firstLineChars="200"/>
      </w:pPr>
      <w:r>
        <w:rPr>
          <w:rFonts w:hint="eastAsia"/>
          <w:lang w:eastAsia="zh-CN"/>
        </w:rPr>
        <w:t>二</w:t>
      </w:r>
      <w:r>
        <w:rPr>
          <w:rFonts w:hint="eastAsia"/>
        </w:rPr>
        <w:t>、采购方式</w:t>
      </w:r>
    </w:p>
    <w:p w14:paraId="1412E581">
      <w:pPr>
        <w:pStyle w:val="14"/>
        <w:spacing w:line="360" w:lineRule="auto"/>
        <w:ind w:firstLine="638" w:firstLineChars="228"/>
        <w:jc w:val="left"/>
        <w:rPr>
          <w:rFonts w:hint="eastAsia" w:ascii="仿宋" w:hAnsi="仿宋" w:eastAsia="仿宋" w:cs="仿宋"/>
          <w:sz w:val="28"/>
          <w:szCs w:val="28"/>
        </w:rPr>
      </w:pPr>
      <w:r>
        <w:rPr>
          <w:rFonts w:hint="eastAsia" w:ascii="仿宋" w:hAnsi="仿宋" w:eastAsia="仿宋" w:cs="仿宋"/>
          <w:sz w:val="28"/>
          <w:szCs w:val="28"/>
        </w:rPr>
        <w:t>项目采购采用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比价</w:t>
      </w:r>
      <w:r>
        <w:rPr>
          <w:rFonts w:hint="eastAsia" w:ascii="仿宋" w:hAnsi="仿宋" w:eastAsia="仿宋" w:cs="仿宋"/>
          <w:sz w:val="28"/>
          <w:szCs w:val="28"/>
        </w:rPr>
        <w:t>方式。</w:t>
      </w:r>
    </w:p>
    <w:p w14:paraId="583EB10F">
      <w:pPr>
        <w:pStyle w:val="14"/>
        <w:spacing w:line="360" w:lineRule="auto"/>
        <w:ind w:firstLine="638" w:firstLineChars="228"/>
        <w:jc w:val="left"/>
        <w:rPr>
          <w:rFonts w:hint="eastAsia" w:ascii="仿宋" w:hAnsi="仿宋" w:eastAsia="仿宋" w:cs="仿宋"/>
          <w:sz w:val="28"/>
          <w:szCs w:val="28"/>
        </w:rPr>
      </w:pPr>
    </w:p>
    <w:p w14:paraId="67C4B04A">
      <w:pPr>
        <w:ind w:firstLine="0" w:firstLineChars="0"/>
        <w:rPr>
          <w:rFonts w:hint="eastAsia" w:ascii="仿宋" w:hAnsi="仿宋" w:eastAsia="仿宋"/>
          <w:color w:val="auto"/>
          <w:sz w:val="28"/>
          <w:szCs w:val="28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仿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265654658"/>
    </w:sdtPr>
    <w:sdtContent>
      <w:sdt>
        <w:sdtPr>
          <w:id w:val="171357217"/>
        </w:sdtPr>
        <w:sdtContent>
          <w:p w14:paraId="29E5F240">
            <w:pPr>
              <w:pStyle w:val="7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PAGE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1</w:t>
            </w:r>
            <w:r>
              <w:rPr>
                <w:b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 xml:space="preserve">NUMPAGES</w:instrText>
            </w:r>
            <w:r>
              <w:rPr>
                <w:b/>
                <w:sz w:val="24"/>
                <w:szCs w:val="24"/>
              </w:rPr>
              <w:fldChar w:fldCharType="separate"/>
            </w:r>
            <w:r>
              <w:rPr>
                <w:b/>
              </w:rPr>
              <w:t>5</w:t>
            </w:r>
            <w:r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14:paraId="10084C26">
    <w:pPr>
      <w:pStyle w:val="7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562FF24"/>
    <w:multiLevelType w:val="singleLevel"/>
    <w:tmpl w:val="C562FF2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329EAA87"/>
    <w:multiLevelType w:val="singleLevel"/>
    <w:tmpl w:val="329EAA87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9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zhjYjhlZDBmZTY1MTk3NTIxNDcyMjk3NzUwNDQ3MDUifQ=="/>
  </w:docVars>
  <w:rsids>
    <w:rsidRoot w:val="00172A27"/>
    <w:rsid w:val="02470627"/>
    <w:rsid w:val="02BE01B7"/>
    <w:rsid w:val="02FF7BF3"/>
    <w:rsid w:val="04001E75"/>
    <w:rsid w:val="05E27A84"/>
    <w:rsid w:val="073D1D0E"/>
    <w:rsid w:val="07AF6973"/>
    <w:rsid w:val="0AE35C9A"/>
    <w:rsid w:val="0BE16524"/>
    <w:rsid w:val="0CB75581"/>
    <w:rsid w:val="0E9F33D1"/>
    <w:rsid w:val="10291224"/>
    <w:rsid w:val="10513A08"/>
    <w:rsid w:val="12EF4AEB"/>
    <w:rsid w:val="135668FE"/>
    <w:rsid w:val="14E55631"/>
    <w:rsid w:val="157B75AD"/>
    <w:rsid w:val="15D60C87"/>
    <w:rsid w:val="16AF3E05"/>
    <w:rsid w:val="1F13741B"/>
    <w:rsid w:val="1F39234A"/>
    <w:rsid w:val="26822D5C"/>
    <w:rsid w:val="27095AD2"/>
    <w:rsid w:val="275B56EA"/>
    <w:rsid w:val="27AB3FDB"/>
    <w:rsid w:val="27EB411E"/>
    <w:rsid w:val="292535BA"/>
    <w:rsid w:val="2B7A55D5"/>
    <w:rsid w:val="2CD94E8D"/>
    <w:rsid w:val="2D415874"/>
    <w:rsid w:val="2D704F50"/>
    <w:rsid w:val="2E60243D"/>
    <w:rsid w:val="2EFD0F86"/>
    <w:rsid w:val="2F6A001E"/>
    <w:rsid w:val="2FEB5E07"/>
    <w:rsid w:val="30B30654"/>
    <w:rsid w:val="31981EC4"/>
    <w:rsid w:val="3BBC60A6"/>
    <w:rsid w:val="3BC42F68"/>
    <w:rsid w:val="3DA66804"/>
    <w:rsid w:val="3DD60DAF"/>
    <w:rsid w:val="3EAD5867"/>
    <w:rsid w:val="3ECA1839"/>
    <w:rsid w:val="4047615A"/>
    <w:rsid w:val="45C85647"/>
    <w:rsid w:val="486F44A0"/>
    <w:rsid w:val="495E69EE"/>
    <w:rsid w:val="4BAD5A0B"/>
    <w:rsid w:val="4C513712"/>
    <w:rsid w:val="4D8E7176"/>
    <w:rsid w:val="4DD26789"/>
    <w:rsid w:val="4E417EE2"/>
    <w:rsid w:val="4E4C633D"/>
    <w:rsid w:val="4F211E59"/>
    <w:rsid w:val="4F6A6E6E"/>
    <w:rsid w:val="51E952C3"/>
    <w:rsid w:val="529C6E22"/>
    <w:rsid w:val="58322559"/>
    <w:rsid w:val="58334BB0"/>
    <w:rsid w:val="58B72D5D"/>
    <w:rsid w:val="595B575E"/>
    <w:rsid w:val="5CD34BA6"/>
    <w:rsid w:val="62997FB9"/>
    <w:rsid w:val="645C18B4"/>
    <w:rsid w:val="650E0E71"/>
    <w:rsid w:val="67A9324B"/>
    <w:rsid w:val="67CB22D3"/>
    <w:rsid w:val="68842B66"/>
    <w:rsid w:val="698E07D2"/>
    <w:rsid w:val="6B012BDF"/>
    <w:rsid w:val="6C003FFD"/>
    <w:rsid w:val="6CDC6693"/>
    <w:rsid w:val="6E603EA1"/>
    <w:rsid w:val="6F7C10CD"/>
    <w:rsid w:val="70BC3E77"/>
    <w:rsid w:val="7235663C"/>
    <w:rsid w:val="726A7F45"/>
    <w:rsid w:val="72800ED4"/>
    <w:rsid w:val="72916C3D"/>
    <w:rsid w:val="73AB1F81"/>
    <w:rsid w:val="74E55010"/>
    <w:rsid w:val="79B03FD3"/>
    <w:rsid w:val="7B324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qFormat="1" w:unhideWhenUsed="0" w:uiPriority="99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autoRedefine/>
    <w:unhideWhenUsed/>
    <w:qFormat/>
    <w:uiPriority w:val="9"/>
    <w:pPr>
      <w:keepNext/>
      <w:keepLines/>
      <w:spacing w:before="260" w:after="260" w:line="416" w:lineRule="auto"/>
      <w:outlineLvl w:val="1"/>
    </w:pPr>
    <w:rPr>
      <w:rFonts w:asciiTheme="majorHAnsi" w:hAnsiTheme="majorHAnsi" w:eastAsiaTheme="majorEastAsia" w:cstheme="majorBidi"/>
      <w:b/>
      <w:bCs/>
      <w:sz w:val="32"/>
      <w:szCs w:val="32"/>
    </w:rPr>
  </w:style>
  <w:style w:type="paragraph" w:styleId="3">
    <w:name w:val="heading 3"/>
    <w:basedOn w:val="1"/>
    <w:next w:val="1"/>
    <w:autoRedefine/>
    <w:unhideWhenUsed/>
    <w:qFormat/>
    <w:uiPriority w:val="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11">
    <w:name w:val="Default Paragraph Font"/>
    <w:autoRedefine/>
    <w:qFormat/>
    <w:uiPriority w:val="1"/>
  </w:style>
  <w:style w:type="table" w:default="1" w:styleId="9">
    <w:name w:val="Normal Table"/>
    <w:autoRedefine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Indent"/>
    <w:basedOn w:val="1"/>
    <w:autoRedefine/>
    <w:unhideWhenUsed/>
    <w:qFormat/>
    <w:uiPriority w:val="99"/>
    <w:pPr>
      <w:ind w:firstLine="420" w:firstLineChars="200"/>
      <w:jc w:val="left"/>
    </w:pPr>
    <w:rPr>
      <w:rFonts w:eastAsia="华文仿宋"/>
      <w:sz w:val="24"/>
    </w:rPr>
  </w:style>
  <w:style w:type="paragraph" w:styleId="5">
    <w:name w:val="annotation text"/>
    <w:basedOn w:val="1"/>
    <w:autoRedefine/>
    <w:qFormat/>
    <w:uiPriority w:val="99"/>
    <w:pPr>
      <w:jc w:val="left"/>
    </w:pPr>
  </w:style>
  <w:style w:type="paragraph" w:styleId="6">
    <w:name w:val="Plain Text"/>
    <w:basedOn w:val="1"/>
    <w:next w:val="1"/>
    <w:autoRedefine/>
    <w:qFormat/>
    <w:uiPriority w:val="0"/>
    <w:rPr>
      <w:rFonts w:ascii="宋体" w:hAnsi="宋体" w:eastAsia="宋体" w:cs="Times New Roman"/>
      <w:szCs w:val="24"/>
    </w:rPr>
  </w:style>
  <w:style w:type="paragraph" w:styleId="7">
    <w:name w:val="footer"/>
    <w:basedOn w:val="1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Normal (Web)"/>
    <w:basedOn w:val="1"/>
    <w:autoRedefine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10">
    <w:name w:val="Table Grid"/>
    <w:basedOn w:val="9"/>
    <w:autoRedefine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2">
    <w:name w:val="Strong"/>
    <w:basedOn w:val="11"/>
    <w:autoRedefine/>
    <w:qFormat/>
    <w:uiPriority w:val="0"/>
    <w:rPr>
      <w:b/>
    </w:rPr>
  </w:style>
  <w:style w:type="paragraph" w:customStyle="1" w:styleId="13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宋体" w:hAnsi="Times New Roman" w:eastAsia="宋体" w:cs="宋体"/>
      <w:color w:val="000000"/>
      <w:sz w:val="24"/>
      <w:szCs w:val="24"/>
      <w:lang w:val="en-US" w:eastAsia="zh-CN" w:bidi="ar-SA"/>
    </w:rPr>
  </w:style>
  <w:style w:type="paragraph" w:customStyle="1" w:styleId="14">
    <w:name w:val="列出段落1"/>
    <w:basedOn w:val="1"/>
    <w:autoRedefine/>
    <w:qFormat/>
    <w:uiPriority w:val="0"/>
    <w:pPr>
      <w:ind w:firstLine="420" w:firstLineChars="200"/>
    </w:pPr>
  </w:style>
  <w:style w:type="character" w:customStyle="1" w:styleId="15">
    <w:name w:val="font21"/>
    <w:basedOn w:val="11"/>
    <w:autoRedefine/>
    <w:qFormat/>
    <w:uiPriority w:val="0"/>
    <w:rPr>
      <w:rFonts w:hint="eastAsia" w:ascii="仿宋" w:hAnsi="仿宋" w:eastAsia="仿宋" w:cs="仿宋"/>
      <w:color w:val="000000"/>
      <w:sz w:val="28"/>
      <w:szCs w:val="28"/>
      <w:u w:val="none"/>
    </w:rPr>
  </w:style>
  <w:style w:type="character" w:customStyle="1" w:styleId="16">
    <w:name w:val="font41"/>
    <w:basedOn w:val="11"/>
    <w:autoRedefine/>
    <w:qFormat/>
    <w:uiPriority w:val="0"/>
    <w:rPr>
      <w:rFonts w:hint="eastAsia" w:ascii="仿宋" w:hAnsi="仿宋" w:eastAsia="仿宋" w:cs="仿宋"/>
      <w:color w:val="FF0000"/>
      <w:sz w:val="28"/>
      <w:szCs w:val="28"/>
      <w:u w:val="none"/>
    </w:rPr>
  </w:style>
  <w:style w:type="paragraph" w:customStyle="1" w:styleId="17">
    <w:name w:val="null3"/>
    <w:hidden/>
    <w:qFormat/>
    <w:uiPriority w:val="0"/>
    <w:rPr>
      <w:rFonts w:hint="eastAsia" w:asciiTheme="minorHAnsi" w:hAnsiTheme="minorHAnsi" w:eastAsiaTheme="minorEastAsia" w:cstheme="minorBidi"/>
      <w:lang w:val="en-US" w:eastAsia="zh-Hans" w:bidi="ar-SA"/>
    </w:rPr>
  </w:style>
  <w:style w:type="paragraph" w:styleId="18">
    <w:name w:val="List Paragraph"/>
    <w:basedOn w:val="1"/>
    <w:unhideWhenUsed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1311</Words>
  <Characters>1367</Characters>
  <Paragraphs>349</Paragraphs>
  <TotalTime>6</TotalTime>
  <ScaleCrop>false</ScaleCrop>
  <LinksUpToDate>false</LinksUpToDate>
  <CharactersWithSpaces>1367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2019-10-29T07:11:00Z</dcterms:created>
  <dc:creator>XLZX-15</dc:creator>
  <cp:lastModifiedBy>PENG</cp:lastModifiedBy>
  <dcterms:modified xsi:type="dcterms:W3CDTF">2025-03-24T02:06:53Z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7A2BDEC95FBB4AF29A96B37EB6E7571C_13</vt:lpwstr>
  </property>
  <property fmtid="{D5CDD505-2E9C-101B-9397-08002B2CF9AE}" pid="4" name="KSOTemplateDocerSaveRecord">
    <vt:lpwstr>eyJoZGlkIjoiNGY5ZmY4NjZmNjhkNDFmOTQxODM1MjU3NTY4ZGM2OGIiLCJ1c2VySWQiOiIzNzQwNTg0OTkifQ==</vt:lpwstr>
  </property>
</Properties>
</file>