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C495F0">
      <w:pPr>
        <w:rPr>
          <w:rFonts w:ascii="宋体" w:hAnsi="宋体" w:cs="Arial"/>
          <w:sz w:val="24"/>
          <w:szCs w:val="24"/>
        </w:rPr>
      </w:pPr>
    </w:p>
    <w:p w14:paraId="1F16B77B">
      <w:bookmarkStart w:id="0" w:name="EB95c0f67582f1491d96dbacde62000ed8"/>
      <w:r>
        <w:rPr>
          <w:rFonts w:ascii="宋体" w:hAnsi="宋体" w:cs="Arial"/>
          <w:sz w:val="20"/>
          <w:szCs w:val="24"/>
        </w:rPr>
        <w:t xml:space="preserve"> </w:t>
      </w:r>
      <w:bookmarkEnd w:id="0"/>
      <w:bookmarkStart w:id="1" w:name="EB8cfd4fac1ae147189930f4ce88d1b0a7"/>
      <w:r>
        <w:rPr>
          <w:rFonts w:ascii="宋体" w:hAnsi="宋体" w:cs="Arial"/>
          <w:sz w:val="20"/>
          <w:szCs w:val="24"/>
        </w:rPr>
        <w:t xml:space="preserve"> </w:t>
      </w:r>
      <w:bookmarkEnd w:id="1"/>
    </w:p>
    <w:p w14:paraId="225A9945">
      <w:pPr>
        <w:rPr>
          <w:rFonts w:ascii="宋体" w:hAnsi="宋体" w:cs="Arial"/>
          <w:sz w:val="24"/>
        </w:rPr>
      </w:pPr>
      <w:r>
        <w:rPr>
          <w:rFonts w:hint="eastAsia" w:ascii="宋体" w:hAnsi="宋体" w:cs="Arial"/>
          <w:sz w:val="24"/>
          <w:szCs w:val="24"/>
        </w:rPr>
        <w:t>网址：</w:t>
      </w:r>
      <w:r>
        <w:rPr>
          <w:rFonts w:hint="eastAsia" w:ascii="宋体" w:hAnsi="宋体" w:cs="Arial"/>
          <w:color w:val="000000"/>
          <w:szCs w:val="21"/>
        </w:rPr>
        <w:t xml:space="preserve"> </w:t>
      </w:r>
      <w:r>
        <w:fldChar w:fldCharType="begin"/>
      </w:r>
      <w:r>
        <w:instrText xml:space="preserve"> HYPERLINK "http://www.gzggzy.cn" </w:instrText>
      </w:r>
      <w:r>
        <w:fldChar w:fldCharType="separate"/>
      </w:r>
      <w:r>
        <w:rPr>
          <w:rStyle w:val="18"/>
          <w:rFonts w:hint="eastAsia" w:cs="Arial"/>
          <w:color w:val="000000"/>
          <w:sz w:val="24"/>
          <w:szCs w:val="24"/>
        </w:rPr>
        <w:t>www.gzggzy.cn</w:t>
      </w:r>
      <w:r>
        <w:rPr>
          <w:rStyle w:val="18"/>
          <w:rFonts w:hint="eastAsia" w:cs="Arial"/>
          <w:color w:val="000000"/>
          <w:sz w:val="24"/>
          <w:szCs w:val="24"/>
        </w:rPr>
        <w:fldChar w:fldCharType="end"/>
      </w:r>
    </w:p>
    <w:p w14:paraId="02D8F133">
      <w:pPr>
        <w:rPr>
          <w:rFonts w:ascii="宋体" w:hAnsi="宋体" w:cs="Arial"/>
          <w:sz w:val="24"/>
        </w:rPr>
      </w:pPr>
    </w:p>
    <w:p w14:paraId="310E080B">
      <w:pPr>
        <w:jc w:val="center"/>
        <w:rPr>
          <w:rFonts w:ascii="宋体" w:hAnsi="宋体" w:cs="Arial"/>
          <w:b/>
          <w:spacing w:val="40"/>
          <w:sz w:val="72"/>
          <w:szCs w:val="72"/>
        </w:rPr>
      </w:pPr>
      <w:r>
        <w:rPr>
          <w:rFonts w:ascii="宋体" w:hAnsi="宋体" w:cs="Arial"/>
          <w:b/>
          <w:spacing w:val="40"/>
          <w:sz w:val="72"/>
          <w:szCs w:val="72"/>
        </w:rPr>
        <w:t xml:space="preserve"> </w:t>
      </w:r>
      <w:bookmarkStart w:id="2" w:name="_Toc37663365"/>
      <w:bookmarkStart w:id="3" w:name="_Toc37245250"/>
      <w:bookmarkStart w:id="4" w:name="_Toc37569493"/>
      <w:bookmarkStart w:id="5" w:name="_Toc37331055"/>
      <w:bookmarkStart w:id="6" w:name="_Toc38947771"/>
      <w:bookmarkStart w:id="7" w:name="_Toc37581393"/>
      <w:bookmarkStart w:id="8" w:name="_Toc37331012"/>
      <w:r>
        <w:rPr>
          <w:rFonts w:ascii="宋体" w:hAnsi="宋体" w:cs="Arial"/>
          <w:b/>
          <w:spacing w:val="40"/>
          <w:sz w:val="72"/>
          <w:szCs w:val="72"/>
        </w:rPr>
        <w:t>竞争性磋商文件</w:t>
      </w:r>
    </w:p>
    <w:p w14:paraId="414C4F80">
      <w:pPr>
        <w:rPr>
          <w:rFonts w:ascii="宋体" w:hAnsi="宋体"/>
        </w:rPr>
      </w:pPr>
    </w:p>
    <w:p w14:paraId="6321F652">
      <w:pPr>
        <w:jc w:val="center"/>
        <w:rPr>
          <w:rFonts w:ascii="宋体" w:hAnsi="宋体" w:cs="Arial"/>
          <w:b/>
          <w:sz w:val="32"/>
          <w:szCs w:val="32"/>
        </w:rPr>
      </w:pPr>
      <w:r>
        <w:rPr>
          <w:rFonts w:ascii="宋体" w:hAnsi="宋体" w:cs="Arial"/>
          <w:b/>
          <w:sz w:val="32"/>
          <w:szCs w:val="32"/>
        </w:rPr>
        <w:drawing>
          <wp:inline distT="0" distB="0" distL="0" distR="0">
            <wp:extent cx="3057525" cy="2819400"/>
            <wp:effectExtent l="0" t="0" r="0" b="0"/>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3057525" cy="2819400"/>
                    </a:xfrm>
                    <a:prstGeom prst="rect">
                      <a:avLst/>
                    </a:prstGeom>
                    <a:noFill/>
                    <a:ln>
                      <a:noFill/>
                    </a:ln>
                  </pic:spPr>
                </pic:pic>
              </a:graphicData>
            </a:graphic>
          </wp:inline>
        </w:drawing>
      </w:r>
    </w:p>
    <w:p w14:paraId="02E92EA5">
      <w:pPr>
        <w:spacing w:line="360" w:lineRule="auto"/>
        <w:ind w:firstLine="525" w:firstLineChars="164"/>
        <w:rPr>
          <w:rFonts w:ascii="宋体" w:hAnsi="宋体" w:cs="Arial"/>
          <w:b/>
          <w:sz w:val="32"/>
          <w:szCs w:val="32"/>
        </w:rPr>
      </w:pPr>
    </w:p>
    <w:p w14:paraId="42145EE8">
      <w:pPr>
        <w:spacing w:line="360" w:lineRule="auto"/>
        <w:jc w:val="left"/>
        <w:rPr>
          <w:rFonts w:ascii="宋体" w:hAnsi="宋体" w:cs="Arial"/>
          <w:b/>
          <w:sz w:val="32"/>
          <w:szCs w:val="32"/>
        </w:rPr>
      </w:pPr>
      <w:r>
        <w:rPr>
          <w:rFonts w:hint="eastAsia" w:ascii="宋体" w:hAnsi="宋体" w:cs="Arial"/>
          <w:b/>
          <w:sz w:val="32"/>
          <w:szCs w:val="32"/>
        </w:rPr>
        <w:t xml:space="preserve">项目编号： </w:t>
      </w:r>
      <w:r>
        <w:rPr>
          <w:rFonts w:ascii="宋体" w:hAnsi="宋体" w:cs="Arial"/>
          <w:b/>
          <w:sz w:val="32"/>
          <w:szCs w:val="32"/>
        </w:rPr>
        <w:t>CC2023-0104</w:t>
      </w:r>
    </w:p>
    <w:p w14:paraId="14C36F27">
      <w:pPr>
        <w:spacing w:line="360" w:lineRule="auto"/>
        <w:jc w:val="left"/>
        <w:rPr>
          <w:rFonts w:ascii="宋体" w:hAnsi="宋体" w:cs="Arial"/>
          <w:b/>
          <w:sz w:val="32"/>
          <w:szCs w:val="32"/>
        </w:rPr>
      </w:pPr>
      <w:r>
        <w:rPr>
          <w:rFonts w:hint="eastAsia" w:ascii="宋体" w:hAnsi="宋体" w:cs="Arial"/>
          <w:b/>
          <w:sz w:val="32"/>
          <w:szCs w:val="32"/>
        </w:rPr>
        <w:t xml:space="preserve">项目名称： </w:t>
      </w:r>
      <w:r>
        <w:rPr>
          <w:rFonts w:ascii="宋体" w:hAnsi="宋体" w:cs="Arial"/>
          <w:b/>
          <w:sz w:val="32"/>
          <w:szCs w:val="32"/>
        </w:rPr>
        <w:t>广州市干部健康管理中心X射线计算机体层摄影设备（联影CT）维修保养服务项目</w:t>
      </w:r>
    </w:p>
    <w:p w14:paraId="072EDA95">
      <w:pPr>
        <w:spacing w:line="360" w:lineRule="auto"/>
        <w:jc w:val="left"/>
        <w:rPr>
          <w:rFonts w:ascii="宋体" w:hAnsi="宋体" w:cs="Arial"/>
          <w:b/>
          <w:sz w:val="32"/>
          <w:szCs w:val="32"/>
        </w:rPr>
      </w:pPr>
      <w:r>
        <w:rPr>
          <w:rFonts w:ascii="宋体" w:hAnsi="宋体" w:cs="Arial"/>
          <w:b/>
          <w:sz w:val="32"/>
          <w:szCs w:val="32"/>
        </w:rPr>
        <w:t xml:space="preserve"> </w:t>
      </w:r>
    </w:p>
    <w:bookmarkEnd w:id="2"/>
    <w:bookmarkEnd w:id="3"/>
    <w:bookmarkEnd w:id="4"/>
    <w:bookmarkEnd w:id="5"/>
    <w:bookmarkEnd w:id="6"/>
    <w:bookmarkEnd w:id="7"/>
    <w:bookmarkEnd w:id="8"/>
    <w:p w14:paraId="39C3242A">
      <w:pPr>
        <w:spacing w:line="360" w:lineRule="auto"/>
        <w:ind w:firstLine="524" w:firstLineChars="164"/>
        <w:rPr>
          <w:rFonts w:ascii="宋体" w:hAnsi="宋体" w:cs="Arial"/>
          <w:sz w:val="32"/>
        </w:rPr>
      </w:pPr>
    </w:p>
    <w:p w14:paraId="468C93ED">
      <w:pPr>
        <w:spacing w:line="300" w:lineRule="auto"/>
        <w:jc w:val="center"/>
        <w:rPr>
          <w:rFonts w:ascii="宋体" w:hAnsi="宋体" w:cs="仿宋_GB2312"/>
          <w:b/>
          <w:sz w:val="32"/>
          <w:szCs w:val="32"/>
        </w:rPr>
      </w:pPr>
      <w:r>
        <w:rPr>
          <w:rFonts w:ascii="宋体" w:hAnsi="宋体" w:cs="仿宋_GB2312"/>
          <w:b/>
          <w:spacing w:val="40"/>
          <w:sz w:val="32"/>
          <w:szCs w:val="32"/>
        </w:rPr>
        <w:t>广州市政府采购中心</w:t>
      </w:r>
    </w:p>
    <w:p w14:paraId="01145786">
      <w:pPr>
        <w:ind w:firstLine="3360" w:firstLineChars="1600"/>
        <w:rPr>
          <w:rFonts w:ascii="宋体" w:hAnsi="宋体"/>
        </w:rPr>
      </w:pPr>
      <w:r>
        <w:rPr>
          <w:rFonts w:ascii="宋体" w:hAnsi="宋体"/>
          <w:color w:val="000000"/>
        </w:rPr>
        <w:t>2023年07月03日</w:t>
      </w:r>
    </w:p>
    <w:p w14:paraId="2755D937">
      <w:pPr>
        <w:rPr>
          <w:rFonts w:ascii="宋体" w:hAnsi="宋体"/>
        </w:rPr>
      </w:pPr>
      <w:bookmarkStart w:id="9" w:name="EBd97a963d55784ea39a922f2c677e005e"/>
      <w:r>
        <w:rPr>
          <w:rFonts w:hint="eastAsia" w:ascii="宋体" w:hAnsi="宋体"/>
          <w:sz w:val="20"/>
        </w:rPr>
        <w:t xml:space="preserve"> </w:t>
      </w:r>
      <w:bookmarkEnd w:id="9"/>
    </w:p>
    <w:p w14:paraId="07364F38">
      <w:pPr>
        <w:spacing w:line="360" w:lineRule="auto"/>
        <w:jc w:val="center"/>
        <w:rPr>
          <w:rFonts w:ascii="宋体" w:hAnsi="宋体" w:cs="Arial"/>
          <w:b/>
          <w:sz w:val="32"/>
        </w:rPr>
      </w:pPr>
      <w:r>
        <w:rPr>
          <w:rFonts w:ascii="宋体" w:hAnsi="宋体" w:cs="Arial"/>
          <w:sz w:val="32"/>
        </w:rPr>
        <w:br w:type="page"/>
      </w:r>
      <w:r>
        <w:rPr>
          <w:rFonts w:hint="eastAsia" w:ascii="宋体" w:hAnsi="宋体"/>
          <w:b/>
          <w:sz w:val="36"/>
          <w:szCs w:val="36"/>
        </w:rPr>
        <w:t>温馨提示：</w:t>
      </w:r>
      <w:r>
        <w:rPr>
          <w:rFonts w:ascii="宋体" w:hAnsi="宋体"/>
          <w:b/>
          <w:sz w:val="36"/>
          <w:szCs w:val="36"/>
        </w:rPr>
        <w:t>供应商报价特别注意事项</w:t>
      </w:r>
      <w:r>
        <w:rPr>
          <w:rFonts w:ascii="宋体" w:hAnsi="宋体" w:cs="Arial"/>
          <w:b/>
          <w:sz w:val="32"/>
        </w:rPr>
        <w:t xml:space="preserve"> </w:t>
      </w:r>
    </w:p>
    <w:p w14:paraId="680C4685">
      <w:pPr>
        <w:tabs>
          <w:tab w:val="left" w:pos="0"/>
          <w:tab w:val="left" w:pos="360"/>
          <w:tab w:val="left" w:pos="1565"/>
        </w:tabs>
        <w:spacing w:line="520" w:lineRule="exact"/>
        <w:rPr>
          <w:rFonts w:ascii="宋体" w:hAnsi="宋体"/>
          <w:sz w:val="24"/>
          <w:szCs w:val="24"/>
        </w:rPr>
      </w:pPr>
      <w:r>
        <w:rPr>
          <w:rStyle w:val="22"/>
          <w:rFonts w:ascii="宋体" w:hAnsi="宋体"/>
          <w:sz w:val="24"/>
          <w:szCs w:val="24"/>
        </w:rPr>
        <w:tab/>
      </w:r>
    </w:p>
    <w:p w14:paraId="2465E44F">
      <w:r>
        <w:rPr>
          <w:rFonts w:ascii="宋体" w:hAnsi="宋体" w:eastAsia="宋体" w:cs="宋体"/>
          <w:kern w:val="0"/>
          <w:position w:val="-1"/>
          <w:sz w:val="28"/>
          <w:lang w:val="zh-CN"/>
        </w:rPr>
        <w:tab/>
      </w:r>
      <w:r>
        <w:rPr>
          <w:rFonts w:ascii="宋体" w:hAnsi="宋体" w:eastAsia="宋体" w:cs="宋体"/>
          <w:kern w:val="0"/>
          <w:position w:val="-1"/>
          <w:sz w:val="28"/>
          <w:lang w:val="zh-CN"/>
        </w:rPr>
        <w:t>一、参加报价之前，供应商应确认企业信用档案是否办理，以免出现企业信用档案不能被使用等问题。上述情况有可能导致响应登记信息无法导入广州市政府采购中心（以下简称市政府采购中心）政府采购交易系统，信用评价分计算的具体时间请参阅《广州公共资源交易政府采购领域信用评价体系2.0指标说明》。</w:t>
      </w:r>
      <w:r>
        <w:rPr>
          <w:rFonts w:ascii="宋体" w:hAnsi="宋体" w:eastAsia="宋体" w:cs="宋体"/>
          <w:kern w:val="0"/>
          <w:position w:val="-1"/>
          <w:sz w:val="28"/>
          <w:lang w:val="zh-CN"/>
        </w:rPr>
        <w:cr/>
      </w:r>
      <w:r>
        <w:rPr>
          <w:rFonts w:ascii="宋体" w:hAnsi="宋体" w:eastAsia="宋体" w:cs="宋体"/>
          <w:kern w:val="0"/>
          <w:position w:val="-1"/>
          <w:sz w:val="28"/>
          <w:lang w:val="zh-CN"/>
        </w:rPr>
        <w:tab/>
      </w:r>
      <w:r>
        <w:rPr>
          <w:rFonts w:ascii="宋体" w:hAnsi="宋体" w:eastAsia="宋体" w:cs="宋体"/>
          <w:kern w:val="0"/>
          <w:position w:val="-1"/>
          <w:sz w:val="28"/>
          <w:lang w:val="zh-CN"/>
        </w:rPr>
        <w:t>二、首次响应文件一律不接受纸质材料，只接受具备法律效力的电子响应文件。供应商应当到依法设立的电子认证服务机构（广州交易集团有限公司(以下简称：广州交易集团)办理点），办理CA数字证书和电子签章。</w:t>
      </w:r>
      <w:r>
        <w:rPr>
          <w:rFonts w:ascii="宋体" w:hAnsi="宋体" w:eastAsia="宋体" w:cs="宋体"/>
          <w:kern w:val="0"/>
          <w:position w:val="-1"/>
          <w:sz w:val="28"/>
          <w:lang w:val="zh-CN"/>
        </w:rPr>
        <w:cr/>
      </w:r>
      <w:r>
        <w:rPr>
          <w:rFonts w:ascii="宋体" w:hAnsi="宋体" w:eastAsia="宋体" w:cs="宋体"/>
          <w:kern w:val="0"/>
          <w:position w:val="-1"/>
          <w:sz w:val="28"/>
          <w:lang w:val="zh-CN"/>
        </w:rPr>
        <w:tab/>
      </w:r>
      <w:r>
        <w:rPr>
          <w:rFonts w:ascii="宋体" w:hAnsi="宋体" w:eastAsia="宋体" w:cs="宋体"/>
          <w:kern w:val="0"/>
          <w:position w:val="-1"/>
          <w:sz w:val="28"/>
          <w:lang w:val="zh-CN"/>
        </w:rPr>
        <w:t>三、如更正公告有重新发布电子磋商文件的，供应商需使用更正公告后最新发布的电子磋商文件来制作电子响应文件，否则将无法正常提交电子响应文件。</w:t>
      </w:r>
      <w:r>
        <w:rPr>
          <w:rFonts w:ascii="宋体" w:hAnsi="宋体" w:eastAsia="宋体" w:cs="宋体"/>
          <w:kern w:val="0"/>
          <w:position w:val="-1"/>
          <w:sz w:val="28"/>
          <w:lang w:val="zh-CN"/>
        </w:rPr>
        <w:cr/>
      </w:r>
      <w:r>
        <w:rPr>
          <w:rFonts w:ascii="宋体" w:hAnsi="宋体" w:eastAsia="宋体" w:cs="宋体"/>
          <w:kern w:val="0"/>
          <w:position w:val="-1"/>
          <w:sz w:val="28"/>
          <w:lang w:val="zh-CN"/>
        </w:rPr>
        <w:tab/>
      </w:r>
      <w:r>
        <w:rPr>
          <w:rFonts w:ascii="宋体" w:hAnsi="宋体" w:eastAsia="宋体" w:cs="宋体"/>
          <w:kern w:val="0"/>
          <w:position w:val="-1"/>
          <w:sz w:val="28"/>
          <w:lang w:val="zh-CN"/>
        </w:rPr>
        <w:t>四、供应商需在提交首次响应文件截止时间前完整上传电子响应文件并保存在市政府采购中心政府采购交易系统，且取得回执。市政府采购中心恕不接收逾期送达或错误投递方式送达的响应文件。</w:t>
      </w:r>
      <w:r>
        <w:rPr>
          <w:rFonts w:ascii="宋体" w:hAnsi="宋体" w:eastAsia="宋体" w:cs="宋体"/>
          <w:kern w:val="0"/>
          <w:position w:val="-1"/>
          <w:sz w:val="28"/>
          <w:lang w:val="zh-CN"/>
        </w:rPr>
        <w:cr/>
      </w:r>
      <w:r>
        <w:rPr>
          <w:rFonts w:ascii="宋体" w:hAnsi="宋体" w:eastAsia="宋体" w:cs="宋体"/>
          <w:kern w:val="0"/>
          <w:position w:val="-1"/>
          <w:sz w:val="28"/>
          <w:lang w:val="zh-CN"/>
        </w:rPr>
        <w:tab/>
      </w:r>
      <w:r>
        <w:rPr>
          <w:rFonts w:ascii="宋体" w:hAnsi="宋体" w:eastAsia="宋体" w:cs="宋体"/>
          <w:kern w:val="0"/>
          <w:position w:val="-1"/>
          <w:sz w:val="28"/>
          <w:lang w:val="zh-CN"/>
        </w:rPr>
        <w:t>五、</w:t>
      </w:r>
      <w:r>
        <w:rPr>
          <w:rFonts w:ascii="宋体" w:hAnsi="宋体" w:eastAsia="宋体" w:cs="宋体"/>
          <w:b/>
          <w:kern w:val="0"/>
          <w:position w:val="-1"/>
          <w:sz w:val="28"/>
          <w:lang w:val="zh-CN"/>
        </w:rPr>
        <w:t>加★号的条款均被视为重要的指标要求，必须一一响应。若有一项带“★”的指标要求未响应或不满足，将按响应无效处理。</w:t>
      </w:r>
      <w:r>
        <w:rPr>
          <w:rFonts w:ascii="宋体" w:hAnsi="宋体" w:eastAsia="宋体" w:cs="宋体"/>
          <w:b/>
          <w:kern w:val="0"/>
          <w:position w:val="-1"/>
          <w:sz w:val="28"/>
          <w:lang w:val="zh-CN"/>
        </w:rPr>
        <w:cr/>
      </w:r>
      <w:r>
        <w:rPr>
          <w:rFonts w:ascii="宋体" w:hAnsi="宋体" w:eastAsia="宋体" w:cs="宋体"/>
          <w:kern w:val="0"/>
          <w:position w:val="-1"/>
          <w:sz w:val="28"/>
          <w:lang w:val="zh-CN"/>
        </w:rPr>
        <w:tab/>
      </w:r>
      <w:r>
        <w:rPr>
          <w:rFonts w:ascii="宋体" w:hAnsi="宋体" w:eastAsia="宋体" w:cs="宋体"/>
          <w:kern w:val="0"/>
          <w:position w:val="-1"/>
          <w:sz w:val="28"/>
          <w:lang w:val="zh-CN"/>
        </w:rPr>
        <w:t>六、对可接受分支机构报价的项目，分支机构报价的，须提供分支机构的营业执照（执业许可证）扫描件及总公司（总所）出具给分支机构的授权书，授权书须加盖总公司（总所）公章。总公司（总所）可就本项目或此类项目在一定范围或时间内出具授权书。已由总公司（总所）授权的，总公司（总所）取得的相关资质证书对分支机构有效，法律法规或者行业另有规定的除外。</w:t>
      </w:r>
      <w:r>
        <w:rPr>
          <w:rFonts w:ascii="宋体" w:hAnsi="宋体" w:eastAsia="宋体" w:cs="宋体"/>
          <w:kern w:val="0"/>
          <w:position w:val="-1"/>
          <w:sz w:val="28"/>
          <w:lang w:val="zh-CN"/>
        </w:rPr>
        <w:cr/>
      </w:r>
      <w:r>
        <w:rPr>
          <w:rFonts w:ascii="宋体" w:hAnsi="宋体" w:eastAsia="宋体" w:cs="宋体"/>
          <w:kern w:val="0"/>
          <w:position w:val="-1"/>
          <w:sz w:val="28"/>
          <w:lang w:val="zh-CN"/>
        </w:rPr>
        <w:tab/>
      </w:r>
      <w:r>
        <w:rPr>
          <w:rFonts w:ascii="宋体" w:hAnsi="宋体" w:eastAsia="宋体" w:cs="宋体"/>
          <w:kern w:val="0"/>
          <w:position w:val="-1"/>
          <w:sz w:val="28"/>
          <w:lang w:val="zh-CN"/>
        </w:rPr>
        <w:t>七、磋商小组评审时，对供应商部分信息直接取自供应商在广州交易集团有限公司网站企业库登记的信息，请供应商及时维护、更新企业库的信息，确保其时效性。</w:t>
      </w:r>
      <w:r>
        <w:rPr>
          <w:rFonts w:ascii="宋体" w:hAnsi="宋体" w:eastAsia="宋体" w:cs="宋体"/>
          <w:kern w:val="0"/>
          <w:position w:val="-1"/>
          <w:sz w:val="28"/>
          <w:lang w:val="zh-CN"/>
        </w:rPr>
        <w:cr/>
      </w:r>
      <w:r>
        <w:rPr>
          <w:rFonts w:ascii="宋体" w:hAnsi="宋体" w:eastAsia="宋体" w:cs="宋体"/>
          <w:kern w:val="0"/>
          <w:position w:val="-1"/>
          <w:sz w:val="28"/>
          <w:lang w:val="zh-CN"/>
        </w:rPr>
        <w:tab/>
      </w:r>
      <w:r>
        <w:rPr>
          <w:rFonts w:ascii="宋体" w:hAnsi="宋体" w:eastAsia="宋体" w:cs="宋体"/>
          <w:kern w:val="0"/>
          <w:position w:val="-1"/>
          <w:sz w:val="28"/>
          <w:lang w:val="zh-CN"/>
        </w:rPr>
        <w:t>八、供应商一旦依法被确认为成交供应商，其响应文件中的相关内容（主要成交标的的名称、规格型号、数量、单价、服务要求等），将会随成交结果公告一并发布在采购信息发布网上，接受社会监督。</w:t>
      </w:r>
      <w:r>
        <w:rPr>
          <w:rFonts w:ascii="宋体" w:hAnsi="宋体" w:eastAsia="宋体" w:cs="宋体"/>
          <w:kern w:val="0"/>
          <w:position w:val="-1"/>
          <w:sz w:val="28"/>
          <w:lang w:val="zh-CN"/>
        </w:rPr>
        <w:cr/>
      </w:r>
      <w:r>
        <w:rPr>
          <w:rFonts w:ascii="宋体" w:hAnsi="宋体" w:eastAsia="宋体" w:cs="宋体"/>
          <w:kern w:val="0"/>
          <w:position w:val="-1"/>
          <w:sz w:val="28"/>
          <w:lang w:val="zh-CN"/>
        </w:rPr>
        <w:tab/>
      </w:r>
      <w:r>
        <w:rPr>
          <w:rFonts w:ascii="宋体" w:hAnsi="宋体" w:eastAsia="宋体" w:cs="宋体"/>
          <w:kern w:val="0"/>
          <w:position w:val="-1"/>
          <w:sz w:val="28"/>
          <w:lang w:val="zh-CN"/>
        </w:rPr>
        <w:t>九、市政府采购中心为采购代理机构，不对供应商进行项目响应登记时提交的相关资料的真实性负责，如供应商发现相关资料被盗用或复制，应遵循法律途径解决，追究侵权者责任。</w:t>
      </w:r>
      <w:r>
        <w:rPr>
          <w:rFonts w:ascii="宋体" w:hAnsi="宋体" w:eastAsia="宋体" w:cs="宋体"/>
          <w:kern w:val="0"/>
          <w:position w:val="-1"/>
          <w:sz w:val="28"/>
          <w:lang w:val="zh-CN"/>
        </w:rPr>
        <w:cr/>
      </w:r>
      <w:r>
        <w:rPr>
          <w:rFonts w:ascii="宋体" w:hAnsi="宋体" w:eastAsia="宋体" w:cs="宋体"/>
          <w:kern w:val="0"/>
          <w:position w:val="-1"/>
          <w:sz w:val="28"/>
          <w:lang w:val="zh-CN"/>
        </w:rPr>
        <w:tab/>
      </w:r>
      <w:r>
        <w:rPr>
          <w:rFonts w:ascii="宋体" w:hAnsi="宋体" w:eastAsia="宋体" w:cs="宋体"/>
          <w:kern w:val="0"/>
          <w:position w:val="-1"/>
          <w:sz w:val="28"/>
          <w:lang w:val="zh-CN"/>
        </w:rPr>
        <w:t>十、本项目需进行现场磋商，请供应商在首次响应文件解密时间截止后1小时内携带以下资料到达磋商地点等候参加磋商：①电子签章的CA证书；②法定代表人证明书（法定代表人参与的）或授权委托证明书（委托代理人参与的）；③身份证原件。</w:t>
      </w:r>
      <w:r>
        <w:rPr>
          <w:rFonts w:ascii="宋体" w:hAnsi="宋体" w:eastAsia="宋体" w:cs="宋体"/>
          <w:kern w:val="0"/>
          <w:position w:val="-1"/>
          <w:sz w:val="28"/>
          <w:lang w:val="zh-CN"/>
        </w:rPr>
        <w:cr/>
      </w:r>
      <w:r>
        <w:rPr>
          <w:sz w:val="28"/>
        </w:rPr>
        <w:cr/>
      </w:r>
      <w:r>
        <w:rPr>
          <w:sz w:val="28"/>
        </w:rPr>
        <w:t>（本提示内容非磋商文件的组成部分，仅为善意提醒。如有不一致，以磋商文件为准。）</w:t>
      </w:r>
    </w:p>
    <w:p w14:paraId="275BE5C7">
      <w:p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pPr>
    </w:p>
    <w:p w14:paraId="145EBCE0">
      <w:pPr>
        <w:pStyle w:val="11"/>
        <w:jc w:val="center"/>
        <w:rPr>
          <w:b/>
          <w:bCs/>
          <w:sz w:val="30"/>
          <w:szCs w:val="30"/>
        </w:rPr>
      </w:pPr>
      <w:r>
        <w:rPr>
          <w:b/>
          <w:bCs/>
          <w:sz w:val="30"/>
          <w:szCs w:val="30"/>
        </w:rPr>
        <w:t xml:space="preserve">广州市干部健康管理中心X射线计算机体层摄影设备（联影CT）维修保养服务项目（CC2023-0104）竞争性磋商公告 </w:t>
      </w:r>
    </w:p>
    <w:p w14:paraId="54873F51">
      <w:pPr>
        <w:pStyle w:val="11"/>
        <w:ind w:firstLine="480"/>
        <w:rPr>
          <w:b/>
          <w:bCs/>
        </w:rPr>
      </w:pPr>
      <w:r>
        <w:rPr>
          <w:b/>
          <w:bCs/>
        </w:rPr>
        <w:t>项目概况</w:t>
      </w:r>
    </w:p>
    <w:p w14:paraId="1102E031">
      <w:pPr>
        <w:pStyle w:val="11"/>
        <w:ind w:firstLine="480"/>
      </w:pPr>
      <w:r>
        <w:t xml:space="preserve">广州市干部健康管理中心X射线计算机体层摄影设备（联影CT）维修保养服务项目的潜在供应商应在广州交易集团有限公司网站（网址：http://www.gzggzy.cn，以下简称广州交易集团网站）获取采购文件，并于2023年7月14日9时30分（北京时间）前递交响应文件。 </w:t>
      </w:r>
    </w:p>
    <w:p w14:paraId="052269D2">
      <w:pPr>
        <w:pStyle w:val="11"/>
        <w:ind w:firstLine="480"/>
        <w:rPr>
          <w:b/>
          <w:bCs/>
        </w:rPr>
      </w:pPr>
      <w:r>
        <w:rPr>
          <w:b/>
          <w:bCs/>
        </w:rPr>
        <w:t>一、 项目基本情况</w:t>
      </w:r>
    </w:p>
    <w:p w14:paraId="2FB31E64">
      <w:pPr>
        <w:pStyle w:val="11"/>
        <w:ind w:firstLine="480"/>
      </w:pPr>
      <w:r>
        <w:t>项目编号：CC2023-0104</w:t>
      </w:r>
    </w:p>
    <w:p w14:paraId="3DCEF9A3">
      <w:pPr>
        <w:pStyle w:val="11"/>
        <w:ind w:firstLine="480"/>
      </w:pPr>
      <w:r>
        <w:t>项目名称：广州市干部健康管理中心X射线计算机体层摄影设备（联影CT）维修保养服务项目</w:t>
      </w:r>
    </w:p>
    <w:p w14:paraId="4D51DAD7">
      <w:pPr>
        <w:pStyle w:val="11"/>
        <w:ind w:firstLine="480"/>
      </w:pPr>
      <w:r>
        <w:t>项目属性：服务类</w:t>
      </w:r>
    </w:p>
    <w:p w14:paraId="545DB7DE">
      <w:pPr>
        <w:pStyle w:val="11"/>
        <w:ind w:firstLine="480"/>
      </w:pPr>
      <w:r>
        <w:t>品目类型：其他服务(C99000000)</w:t>
      </w:r>
    </w:p>
    <w:p w14:paraId="2DA5CDF4">
      <w:pPr>
        <w:pStyle w:val="11"/>
        <w:ind w:firstLine="480"/>
      </w:pPr>
      <w:r>
        <w:t>采购方式：竞争性磋商</w:t>
      </w:r>
    </w:p>
    <w:p w14:paraId="542945FF">
      <w:pPr>
        <w:pStyle w:val="11"/>
        <w:ind w:firstLine="480"/>
      </w:pPr>
      <w:r>
        <w:t>预算金额：人民币：370000.00元。</w:t>
      </w:r>
    </w:p>
    <w:p w14:paraId="7062D66D">
      <w:pPr>
        <w:pStyle w:val="11"/>
        <w:ind w:firstLine="480"/>
      </w:pPr>
      <w:r>
        <w:t>最高限价：人民币：370000.00元。</w:t>
      </w:r>
    </w:p>
    <w:p w14:paraId="7541CC9B">
      <w:pPr>
        <w:pStyle w:val="11"/>
        <w:ind w:firstLine="480"/>
      </w:pPr>
      <w:r>
        <w:t>采购需求：</w:t>
      </w:r>
    </w:p>
    <w:p w14:paraId="5875B6E2">
      <w:pPr>
        <w:pStyle w:val="11"/>
        <w:ind w:firstLine="480"/>
      </w:pPr>
      <w:r>
        <w:t>（一）标的的名称：广州市干部健康管理中心X射线计算机体层摄影设备（联影CT）维修保养服务项目</w:t>
      </w:r>
    </w:p>
    <w:p w14:paraId="4E615C70">
      <w:pPr>
        <w:pStyle w:val="11"/>
        <w:ind w:firstLine="480"/>
      </w:pPr>
      <w:r>
        <w:t>（二）数量：1项。</w:t>
      </w:r>
    </w:p>
    <w:p w14:paraId="71AB595D">
      <w:pPr>
        <w:pStyle w:val="11"/>
        <w:ind w:firstLine="480"/>
      </w:pPr>
      <w:r>
        <w:t>（三）简要技术需求或服务要求：</w:t>
      </w:r>
    </w:p>
    <w:p w14:paraId="144024A2">
      <w:pPr>
        <w:pStyle w:val="11"/>
        <w:ind w:firstLine="480"/>
      </w:pPr>
      <w:r>
        <w:t>广州市干部健康管理中心X射线计算机体层摄影设备（联影CT）维修保养服务，详细需求请见磋商文件第二章采购需求。</w:t>
      </w:r>
    </w:p>
    <w:p w14:paraId="7E339C7C">
      <w:pPr>
        <w:pStyle w:val="11"/>
        <w:ind w:firstLine="480"/>
      </w:pPr>
      <w:r>
        <w:t>合同履行期限：壹年</w:t>
      </w:r>
    </w:p>
    <w:p w14:paraId="2BE2FCD7">
      <w:pPr>
        <w:pStyle w:val="11"/>
        <w:ind w:firstLine="480"/>
      </w:pPr>
      <w:r>
        <w:t>本项目是否接受联合体：否。</w:t>
      </w:r>
    </w:p>
    <w:p w14:paraId="58A5F544">
      <w:pPr>
        <w:pStyle w:val="11"/>
        <w:ind w:firstLine="480"/>
        <w:rPr>
          <w:b/>
          <w:bCs/>
        </w:rPr>
      </w:pPr>
      <w:r>
        <w:rPr>
          <w:b/>
          <w:bCs/>
        </w:rPr>
        <w:t>二、申请人的资格要求</w:t>
      </w:r>
    </w:p>
    <w:p w14:paraId="2385878D">
      <w:pPr>
        <w:pStyle w:val="11"/>
        <w:ind w:firstLine="480"/>
      </w:pPr>
      <w:r>
        <w:t xml:space="preserve">（一）满足《中华人民共和国政府采购法》第二十二条规定；分支机构报价的，必须由总公司（总所）授权【依据《供应商资格声明函》及其附件、分支机构的营业执照（执业许可证）扫描件及总公司（总所）出具给分支机构的授权书】。 </w:t>
      </w:r>
    </w:p>
    <w:p w14:paraId="7C4B5D77">
      <w:pPr>
        <w:pStyle w:val="11"/>
        <w:ind w:firstLine="480"/>
      </w:pPr>
      <w:r>
        <w:t>（二）落实政府采购政策需满足的资格要求：</w:t>
      </w:r>
    </w:p>
    <w:p w14:paraId="2F356C94">
      <w:pPr>
        <w:pStyle w:val="11"/>
        <w:ind w:firstLine="480"/>
      </w:pPr>
      <w:r>
        <w:t xml:space="preserve">本项目不属于专门面向中小微企业采购的项目。 </w:t>
      </w:r>
    </w:p>
    <w:p w14:paraId="20AAC61E">
      <w:pPr>
        <w:pStyle w:val="11"/>
        <w:ind w:firstLine="480"/>
      </w:pPr>
      <w:r>
        <w:t xml:space="preserve">（三）供应商未被列入“信用中国”网站中“记录失信被执行人或重大税收违法案件当事人名单或政府采购严重违法失信行为”的记录名单；不处于“中国政府采购网”中“政府采购严重违法失信行为信息记录”的禁止参加政府采购活动期间（以磋商小组于资格审查时在上述网站查询结果为准，如在上述网站查询结果均显示没有相关记录，视为没有上述不良信用记录。同时对信用信息查询记录和证据截图存档。如相关失信记录已失效，供应商须提供相关证明资料）。 </w:t>
      </w:r>
    </w:p>
    <w:p w14:paraId="3CF24CC6">
      <w:pPr>
        <w:pStyle w:val="11"/>
        <w:ind w:firstLine="480"/>
      </w:pPr>
      <w:r>
        <w:t xml:space="preserve">（四）本项目的特定资格要求：本项目不接受联合体报价。 </w:t>
      </w:r>
    </w:p>
    <w:p w14:paraId="5C909350">
      <w:pPr>
        <w:pStyle w:val="11"/>
        <w:ind w:firstLine="480"/>
        <w:rPr>
          <w:b/>
          <w:bCs/>
        </w:rPr>
      </w:pPr>
      <w:r>
        <w:rPr>
          <w:b/>
          <w:bCs/>
        </w:rPr>
        <w:t>三、获取采购文件</w:t>
      </w:r>
    </w:p>
    <w:p w14:paraId="65033B5C">
      <w:pPr>
        <w:pStyle w:val="11"/>
        <w:ind w:firstLine="480"/>
      </w:pPr>
      <w:r>
        <w:t xml:space="preserve">时间：在广州交易集团网站会员专区进行项目响应登记前，供应商需办理广州交易集团供应商信用档案（办理方法请参阅本公告附件3）。符合资格的供应商应当在2023年7月3日公告之时至2023年7月13日 23:59期间（北京时间）登录广州交易集团网站会员专区完成本项目响应登记（本项目不收取采购文件工本费）。供应商可登录广州交易集团网站自行下载采购文件。 </w:t>
      </w:r>
    </w:p>
    <w:p w14:paraId="04731337">
      <w:pPr>
        <w:pStyle w:val="11"/>
        <w:ind w:firstLine="480"/>
      </w:pPr>
      <w:r>
        <w:t>地点：广州交易集团网站。</w:t>
      </w:r>
    </w:p>
    <w:p w14:paraId="59400A6B">
      <w:pPr>
        <w:pStyle w:val="11"/>
        <w:ind w:firstLine="480"/>
      </w:pPr>
      <w:r>
        <w:t>方式：自行下载。</w:t>
      </w:r>
    </w:p>
    <w:p w14:paraId="53CB8011">
      <w:pPr>
        <w:pStyle w:val="11"/>
        <w:ind w:firstLine="480"/>
      </w:pPr>
      <w:r>
        <w:t>售价：免费。</w:t>
      </w:r>
    </w:p>
    <w:p w14:paraId="540225A4">
      <w:pPr>
        <w:pStyle w:val="11"/>
        <w:ind w:firstLine="480"/>
        <w:rPr>
          <w:b/>
          <w:bCs/>
        </w:rPr>
      </w:pPr>
      <w:r>
        <w:rPr>
          <w:b/>
          <w:bCs/>
        </w:rPr>
        <w:t>四、响应文件提交</w:t>
      </w:r>
    </w:p>
    <w:p w14:paraId="4E12F5AB">
      <w:pPr>
        <w:pStyle w:val="11"/>
        <w:ind w:firstLine="480"/>
      </w:pPr>
      <w:r>
        <w:t xml:space="preserve">（一）提交首次响应文件时间：2023年7月3日公告之时起至2023年7月14日9时30分（北京时间）。 </w:t>
      </w:r>
    </w:p>
    <w:p w14:paraId="61026E03">
      <w:pPr>
        <w:pStyle w:val="11"/>
        <w:ind w:firstLine="480"/>
      </w:pPr>
      <w:r>
        <w:t xml:space="preserve">（二）提交首次响应文件截止时间及开标时间：2023年7月14日9时30分（北京时间）。 </w:t>
      </w:r>
    </w:p>
    <w:p w14:paraId="1115820F">
      <w:pPr>
        <w:pStyle w:val="11"/>
        <w:ind w:firstLine="480"/>
      </w:pPr>
      <w:r>
        <w:t>（三）供应商提交响应文件的方式：在广州交易集团网站会员专区上传电子响应文件。</w:t>
      </w:r>
    </w:p>
    <w:p w14:paraId="38543CC1">
      <w:pPr>
        <w:pStyle w:val="11"/>
        <w:ind w:firstLine="480"/>
      </w:pPr>
      <w:r>
        <w:t xml:space="preserve">（四）首次响应文件解密时间：2023年7月14日9时30分至2023年7月14日10时30分（北京时间）。 </w:t>
      </w:r>
    </w:p>
    <w:p w14:paraId="63952A6C">
      <w:pPr>
        <w:pStyle w:val="11"/>
        <w:ind w:firstLine="480"/>
      </w:pPr>
      <w:r>
        <w:t>（五）解密完成后及时公布报价结果。</w:t>
      </w:r>
    </w:p>
    <w:p w14:paraId="79298AC7">
      <w:pPr>
        <w:pStyle w:val="11"/>
        <w:ind w:firstLine="480"/>
      </w:pPr>
      <w:r>
        <w:t>（六）开标地点：在线开标。</w:t>
      </w:r>
    </w:p>
    <w:p w14:paraId="255778C0">
      <w:pPr>
        <w:pStyle w:val="11"/>
        <w:ind w:firstLine="480"/>
        <w:rPr>
          <w:b/>
          <w:bCs/>
        </w:rPr>
      </w:pPr>
      <w:r>
        <w:rPr>
          <w:b/>
          <w:bCs/>
        </w:rPr>
        <w:t>五、开启</w:t>
      </w:r>
    </w:p>
    <w:p w14:paraId="0547CA61">
      <w:pPr>
        <w:pStyle w:val="11"/>
        <w:ind w:firstLine="480"/>
      </w:pPr>
      <w:r>
        <w:t>时间：2023年7月14日9时30分（北京时间）</w:t>
      </w:r>
    </w:p>
    <w:p w14:paraId="124B3800">
      <w:pPr>
        <w:pStyle w:val="11"/>
        <w:ind w:firstLine="480"/>
      </w:pPr>
      <w:r>
        <w:t>地点：在线开标</w:t>
      </w:r>
    </w:p>
    <w:p w14:paraId="4C075765">
      <w:pPr>
        <w:pStyle w:val="11"/>
        <w:ind w:firstLine="480"/>
        <w:rPr>
          <w:b/>
          <w:bCs/>
        </w:rPr>
      </w:pPr>
      <w:r>
        <w:rPr>
          <w:b/>
          <w:bCs/>
        </w:rPr>
        <w:t>六、公告期限</w:t>
      </w:r>
    </w:p>
    <w:p w14:paraId="639634A5">
      <w:pPr>
        <w:pStyle w:val="11"/>
        <w:ind w:firstLine="480"/>
      </w:pPr>
      <w:r>
        <w:t>自本公告发布之日起3个工作日。</w:t>
      </w:r>
    </w:p>
    <w:p w14:paraId="0472ADDC">
      <w:pPr>
        <w:pStyle w:val="11"/>
        <w:ind w:firstLine="480"/>
        <w:rPr>
          <w:b/>
          <w:bCs/>
        </w:rPr>
      </w:pPr>
      <w:r>
        <w:rPr>
          <w:b/>
          <w:bCs/>
        </w:rPr>
        <w:t>七、其他补充事宜</w:t>
      </w:r>
    </w:p>
    <w:p w14:paraId="467CFD00">
      <w:pPr>
        <w:pStyle w:val="11"/>
        <w:ind w:firstLine="480"/>
      </w:pPr>
      <w:r>
        <w:t xml:space="preserve">（一）本项目运用广州公共资源交易信用评价体系2.0，信用评价分计入综合评分，请供应商根据《广州公共资源交易政府采购领域信用评价体系2.0指标说明》对相关资料进行登记或更新，详见本采购公告附件。 </w:t>
      </w:r>
    </w:p>
    <w:p w14:paraId="31C6E86C">
      <w:pPr>
        <w:pStyle w:val="11"/>
        <w:ind w:firstLine="480"/>
      </w:pPr>
      <w:r>
        <w:t>（二）磋商说明：</w:t>
      </w:r>
    </w:p>
    <w:p w14:paraId="0E95E5F6">
      <w:pPr>
        <w:pStyle w:val="11"/>
        <w:ind w:firstLine="480"/>
      </w:pPr>
      <w:r>
        <w:t>1.磋商地点：广州市天河区天润路445号广州市政府采购中心（太阳广场）四楼。</w:t>
      </w:r>
    </w:p>
    <w:p w14:paraId="675BCB60">
      <w:pPr>
        <w:pStyle w:val="11"/>
        <w:ind w:firstLine="480"/>
      </w:pPr>
      <w:r>
        <w:t>2.供应商携带具有电子签章的CA证书参与磋商。</w:t>
      </w:r>
    </w:p>
    <w:p w14:paraId="7DE9296F">
      <w:pPr>
        <w:pStyle w:val="11"/>
        <w:ind w:firstLine="480"/>
      </w:pPr>
      <w:r>
        <w:t xml:space="preserve">3.供应商须由法定代表人（凭加盖单位公章的法定代表人证明书和身份证原件）或其委托代理人（凭加盖单位公章的授权委托证明书和身份证原件）现场参加磋商。 </w:t>
      </w:r>
    </w:p>
    <w:p w14:paraId="3367FF33">
      <w:pPr>
        <w:pStyle w:val="11"/>
        <w:ind w:firstLine="480"/>
      </w:pPr>
      <w:r>
        <w:t xml:space="preserve">4.如供应商未在磋商小组规定的时间内到达磋商地点进行磋商，磋商小组有权视为供应商退出磋商。请供应商在首次响应文件解密时间截止后1小时内到达磋商地点等候参加磋商。 </w:t>
      </w:r>
    </w:p>
    <w:p w14:paraId="5AA0609E">
      <w:pPr>
        <w:pStyle w:val="11"/>
        <w:ind w:firstLine="480"/>
      </w:pPr>
      <w:r>
        <w:t>（三）现场考察及答疑会</w:t>
      </w:r>
    </w:p>
    <w:p w14:paraId="6B2CD9AB">
      <w:pPr>
        <w:pStyle w:val="11"/>
        <w:ind w:firstLine="480"/>
      </w:pPr>
      <w:r>
        <w:t>1、本项目不需要现场考察。</w:t>
      </w:r>
    </w:p>
    <w:p w14:paraId="25D94A38">
      <w:pPr>
        <w:pStyle w:val="11"/>
        <w:ind w:firstLine="480"/>
      </w:pPr>
      <w:r>
        <w:t>2、本项目不需要答疑会。</w:t>
      </w:r>
    </w:p>
    <w:p w14:paraId="3A70316B">
      <w:pPr>
        <w:pStyle w:val="11"/>
        <w:ind w:firstLine="480"/>
        <w:rPr>
          <w:b/>
          <w:bCs/>
        </w:rPr>
      </w:pPr>
      <w:r>
        <w:rPr>
          <w:b/>
          <w:bCs/>
        </w:rPr>
        <w:t>八、对本次采购提出询问，请按以下方式联系</w:t>
      </w:r>
    </w:p>
    <w:p w14:paraId="5DC55805">
      <w:pPr>
        <w:pStyle w:val="11"/>
        <w:ind w:firstLine="480"/>
      </w:pPr>
      <w:r>
        <w:t>（一）采购人信息</w:t>
      </w:r>
    </w:p>
    <w:p w14:paraId="7EAEA595">
      <w:pPr>
        <w:pStyle w:val="11"/>
        <w:ind w:firstLine="480"/>
      </w:pPr>
      <w:r>
        <w:t>采购人名称：广州市干部健康管理中心</w:t>
      </w:r>
    </w:p>
    <w:p w14:paraId="24C7AAC0">
      <w:pPr>
        <w:pStyle w:val="11"/>
        <w:ind w:firstLine="480"/>
      </w:pPr>
      <w:r>
        <w:t>采购人地址：广州市黄埔区长岭路109号</w:t>
      </w:r>
    </w:p>
    <w:p w14:paraId="692FEBAA">
      <w:pPr>
        <w:pStyle w:val="11"/>
        <w:ind w:firstLine="480"/>
      </w:pPr>
      <w:r>
        <w:t>联系人：邱超凡，联系电话：020-38977284</w:t>
      </w:r>
    </w:p>
    <w:p w14:paraId="41FCF206">
      <w:pPr>
        <w:pStyle w:val="11"/>
        <w:ind w:firstLine="480"/>
      </w:pPr>
      <w:r>
        <w:t>（二）采购代理机构信息</w:t>
      </w:r>
    </w:p>
    <w:p w14:paraId="65546442">
      <w:pPr>
        <w:pStyle w:val="11"/>
        <w:ind w:firstLine="480"/>
      </w:pPr>
      <w:r>
        <w:t>名称：广州市政府采购中心</w:t>
      </w:r>
    </w:p>
    <w:p w14:paraId="1A18FC69">
      <w:pPr>
        <w:pStyle w:val="11"/>
        <w:ind w:firstLine="480"/>
      </w:pPr>
      <w:r>
        <w:t>地址：广州市天河区天润路333号，邮编：510630</w:t>
      </w:r>
    </w:p>
    <w:p w14:paraId="7AF31788">
      <w:pPr>
        <w:pStyle w:val="11"/>
        <w:ind w:firstLine="480"/>
      </w:pPr>
      <w:r>
        <w:t>对外办公时间：工作日 8:30～12:00，14:00～17:30</w:t>
      </w:r>
    </w:p>
    <w:p w14:paraId="4E2DB71F">
      <w:pPr>
        <w:pStyle w:val="11"/>
        <w:ind w:firstLine="480"/>
      </w:pPr>
      <w:r>
        <w:t>（三）采购代理机构服务热线：</w:t>
      </w:r>
    </w:p>
    <w:p w14:paraId="0E7371A8">
      <w:pPr>
        <w:pStyle w:val="11"/>
        <w:ind w:firstLine="480"/>
      </w:pPr>
      <w:r>
        <w:t>1.业务咨询：（020）28866000转“其他业务咨询” 传真：（020）28866414</w:t>
      </w:r>
    </w:p>
    <w:p w14:paraId="7A72216B">
      <w:pPr>
        <w:pStyle w:val="11"/>
        <w:ind w:firstLine="480"/>
      </w:pPr>
      <w:r>
        <w:t>2.CA数字证书及电子签章：（020）28866000转“CA数字证书及电子签章咨询”</w:t>
      </w:r>
    </w:p>
    <w:p w14:paraId="110E0B89">
      <w:pPr>
        <w:pStyle w:val="11"/>
        <w:ind w:firstLine="480"/>
      </w:pPr>
      <w:r>
        <w:t xml:space="preserve">3.电子投标技术支持电话：020-28866176，020-28866000-3-3，15919617989（工作日服务时间：08:30-12:00，14:00-17:30） </w:t>
      </w:r>
    </w:p>
    <w:p w14:paraId="282AE388">
      <w:pPr>
        <w:pStyle w:val="11"/>
        <w:ind w:firstLine="480"/>
      </w:pPr>
      <w:r>
        <w:t>4.采购文件咨询：采购文件编制部，联系人：黄婕，联系电话：（020）28866119</w:t>
      </w:r>
    </w:p>
    <w:p w14:paraId="73F78422">
      <w:pPr>
        <w:pStyle w:val="11"/>
        <w:ind w:firstLine="480"/>
      </w:pPr>
      <w:r>
        <w:t>5.项目开标、评审咨询：采购项目评审部，联系人：黄碧妃，联系电话：（020）28866416</w:t>
      </w:r>
    </w:p>
    <w:p w14:paraId="46ABC8B2">
      <w:pPr>
        <w:pStyle w:val="11"/>
        <w:ind w:firstLine="480"/>
      </w:pPr>
      <w:r>
        <w:t>6.质疑受理：质量监督部，联系人：冯西韵，联系电话：（020）28866163</w:t>
      </w:r>
    </w:p>
    <w:p w14:paraId="72089AD4">
      <w:pPr>
        <w:pStyle w:val="11"/>
        <w:jc w:val="right"/>
      </w:pPr>
      <w:r>
        <w:t>发布人：广州市政府采购中心</w:t>
      </w:r>
    </w:p>
    <w:p w14:paraId="48C32444">
      <w:pPr>
        <w:pStyle w:val="11"/>
        <w:jc w:val="right"/>
      </w:pPr>
      <w:r>
        <w:t>发布时间：2023年7月3日</w:t>
      </w:r>
    </w:p>
    <w:p w14:paraId="6942F86C">
      <w:pPr>
        <w:sectPr>
          <w:pgSz w:w="11906" w:h="16838"/>
          <w:pgMar w:top="1440" w:right="1800" w:bottom="1440" w:left="1800" w:header="851" w:footer="992" w:gutter="0"/>
          <w:cols w:space="425" w:num="1"/>
          <w:docGrid w:type="lines" w:linePitch="312" w:charSpace="0"/>
        </w:sectPr>
      </w:pPr>
    </w:p>
    <w:p w14:paraId="60978900">
      <w:pPr>
        <w:pStyle w:val="2"/>
        <w:spacing w:line="360" w:lineRule="atLeast"/>
        <w:jc w:val="center"/>
      </w:pPr>
      <w:r>
        <w:rPr>
          <w:rStyle w:val="16"/>
          <w:rFonts w:hint="eastAsia"/>
          <w:b w:val="0"/>
          <w:bCs w:val="0"/>
          <w:sz w:val="30"/>
          <w:szCs w:val="30"/>
        </w:rPr>
        <w:t>第一章  竞争性磋商须知</w:t>
      </w:r>
    </w:p>
    <w:p w14:paraId="5FE7A8C8">
      <w:pPr>
        <w:pStyle w:val="11"/>
        <w:spacing w:line="360" w:lineRule="atLeast"/>
        <w:ind w:firstLine="480"/>
      </w:pPr>
      <w:r>
        <w:rPr>
          <w:rFonts w:hint="eastAsia"/>
        </w:rPr>
        <w:t>供应商必须认真阅读磋商文件中所有的事项、格式、条款和采购需求等。磋商供应商没有按照磋商文件要求提交全部资料，或者响应文件没有对磋商文件在各方面都做出实质性响应的可能导致其响应无效或被拒绝。</w:t>
      </w:r>
    </w:p>
    <w:p w14:paraId="18702DA1">
      <w:pPr>
        <w:pStyle w:val="11"/>
        <w:spacing w:after="150" w:line="360" w:lineRule="atLeast"/>
        <w:ind w:firstLine="480"/>
      </w:pPr>
      <w:r>
        <w:rPr>
          <w:rStyle w:val="16"/>
          <w:rFonts w:hint="eastAsia"/>
        </w:rPr>
        <w:t>一、名词解释</w:t>
      </w:r>
    </w:p>
    <w:p w14:paraId="5A11CFE5">
      <w:pPr>
        <w:pStyle w:val="11"/>
        <w:spacing w:line="360" w:lineRule="atLeast"/>
        <w:ind w:firstLine="480"/>
      </w:pPr>
      <w:r>
        <w:rPr>
          <w:rFonts w:hint="eastAsia"/>
        </w:rPr>
        <w:t>（一）采购代理机构：本项目是指广州市政府采购中心，负责整个采购活动的组织，依法负责编制和发布磋商文件，对磋商文件拥有最终的解释权，不以任何身份出任磋商小组成员。</w:t>
      </w:r>
    </w:p>
    <w:p w14:paraId="23A00582">
      <w:pPr>
        <w:pStyle w:val="11"/>
        <w:spacing w:after="120"/>
        <w:ind w:firstLine="480"/>
      </w:pPr>
      <w:r>
        <w:rPr>
          <w:rFonts w:hint="eastAsia"/>
        </w:rPr>
        <w:t>（二）采购人：本项目是指广州市干部健康管理中心，是采购活动当事人之一，负责项目的整体规划、技术及服务方案可行性设计论证与实施，作为合同采购方（用户）的主体承担质疑回复、履行合同、验收与评价等义务。</w:t>
      </w:r>
      <w:r>
        <w:rPr>
          <w:rFonts w:hint="eastAsia"/>
        </w:rPr>
        <w:br w:type="textWrapping"/>
      </w:r>
      <w:r>
        <w:rPr>
          <w:rFonts w:hint="eastAsia"/>
        </w:rPr>
        <w:t>  （三）磋商供应商：是指在采购中心网站会员专区完成本项目响应登记并提交电子响应文件的供应商。</w:t>
      </w:r>
    </w:p>
    <w:p w14:paraId="182F3B1A">
      <w:pPr>
        <w:pStyle w:val="11"/>
        <w:spacing w:line="360" w:lineRule="atLeast"/>
        <w:ind w:firstLine="480"/>
      </w:pPr>
      <w:r>
        <w:rPr>
          <w:rFonts w:hint="eastAsia"/>
        </w:rPr>
        <w:t>（四）磋商小组：是指根据《中华人民共和国政府采购法》等法律法规规定，由采购人代表和有关专家组成以确定成交供应商或者推荐成交候选供应商的临时组织。</w:t>
      </w:r>
      <w:r>
        <w:rPr>
          <w:rFonts w:hint="eastAsia"/>
        </w:rPr>
        <w:br w:type="textWrapping"/>
      </w:r>
      <w:r>
        <w:rPr>
          <w:rFonts w:hint="eastAsia"/>
        </w:rPr>
        <w:t>  （五）成交供应商：是指经磋商小组评审确定的对磋商文件做出实质性响应，经采购人按照规定在磋商小组推荐的成交候选供应商中确定的或磋商小组受采购人委托直接确认的供应商</w:t>
      </w:r>
    </w:p>
    <w:p w14:paraId="7DFC251E">
      <w:pPr>
        <w:pStyle w:val="11"/>
        <w:spacing w:line="360" w:lineRule="atLeast"/>
        <w:ind w:firstLine="480"/>
      </w:pPr>
      <w:r>
        <w:rPr>
          <w:rFonts w:hint="eastAsia"/>
        </w:rPr>
        <w:t>（六）磋商文件：是指包括磋商文件及其补充、变更和澄清等一系列文件。</w:t>
      </w:r>
    </w:p>
    <w:p w14:paraId="56CC6260">
      <w:pPr>
        <w:pStyle w:val="11"/>
        <w:spacing w:line="360" w:lineRule="atLeast"/>
        <w:ind w:firstLine="480"/>
      </w:pPr>
      <w:r>
        <w:rPr>
          <w:rFonts w:hint="eastAsia"/>
        </w:rPr>
        <w:t>（七）电子响应文件：是指使用采购中心提供的投标文件管理软件制作的响应文件。</w:t>
      </w:r>
    </w:p>
    <w:p w14:paraId="010EED58">
      <w:pPr>
        <w:pStyle w:val="11"/>
        <w:spacing w:line="360" w:lineRule="atLeast"/>
        <w:ind w:firstLine="480"/>
      </w:pPr>
      <w:r>
        <w:rPr>
          <w:rFonts w:hint="eastAsia"/>
        </w:rPr>
        <w:t>（八）电子签名和电子签章：是指广东省内依法设立的电子认证服务机构签发的电子签名认证证书和电子签章，供应商应当到上述服务机构（采购中心办理点）办理。电子签名及电子签章与手写签名或者盖章具有同等的法律效力。</w:t>
      </w:r>
    </w:p>
    <w:p w14:paraId="773BD3E2">
      <w:pPr>
        <w:pStyle w:val="11"/>
        <w:spacing w:line="360" w:lineRule="atLeast"/>
        <w:ind w:firstLine="480"/>
      </w:pPr>
      <w:r>
        <w:rPr>
          <w:rFonts w:hint="eastAsia"/>
        </w:rPr>
        <w:t>（九）日期、天数、时间：未有特别说明时，均为公历日（天）及北京时间。</w:t>
      </w:r>
    </w:p>
    <w:p w14:paraId="6C6D4EA0">
      <w:pPr>
        <w:pStyle w:val="11"/>
        <w:spacing w:line="360" w:lineRule="atLeast"/>
        <w:ind w:firstLine="480"/>
      </w:pPr>
      <w:r>
        <w:rPr>
          <w:rFonts w:hint="eastAsia"/>
        </w:rPr>
        <w:t>（十）采购信息发布网站：广东省政府采购网（gdgpo.czt.gd.gov.cn）和广州市政府采购中心（www.gzggzy.cn）。</w:t>
      </w:r>
    </w:p>
    <w:p w14:paraId="1732E025">
      <w:pPr>
        <w:pStyle w:val="11"/>
        <w:spacing w:after="150" w:line="360" w:lineRule="atLeast"/>
        <w:ind w:firstLine="480"/>
      </w:pPr>
      <w:r>
        <w:rPr>
          <w:rStyle w:val="16"/>
          <w:rFonts w:hint="eastAsia"/>
        </w:rPr>
        <w:t>二、报价的费用</w:t>
      </w:r>
    </w:p>
    <w:p w14:paraId="5552542C">
      <w:pPr>
        <w:pStyle w:val="11"/>
        <w:spacing w:after="150" w:line="360" w:lineRule="atLeast"/>
        <w:ind w:firstLine="480"/>
      </w:pPr>
      <w:r>
        <w:rPr>
          <w:rFonts w:hint="eastAsia"/>
        </w:rPr>
        <w:t>（一）不论报价的结果如何，供应商应自行承担所有与编写和提交响应文件有关的费用。</w:t>
      </w:r>
    </w:p>
    <w:p w14:paraId="71F04FB2">
      <w:pPr>
        <w:pStyle w:val="11"/>
        <w:ind w:firstLine="480"/>
      </w:pPr>
      <w:r>
        <w:rPr>
          <w:rFonts w:hint="eastAsia"/>
          <w:shd w:val="clear" w:color="auto" w:fill="FFFFFF"/>
        </w:rPr>
        <w:t>采购人委托成交供应商支付公共资源交易服务费，其报价中须包含公共资源交易服务费。由成交供应商支付公共资源交易服务费后，采购人、成交供应商方可下载打印电子《成交通知书》。</w:t>
      </w:r>
      <w:r>
        <w:rPr>
          <w:rFonts w:hint="eastAsia"/>
        </w:rPr>
        <w:t xml:space="preserve"> </w:t>
      </w:r>
    </w:p>
    <w:p w14:paraId="05B4D83F">
      <w:pPr>
        <w:pStyle w:val="4"/>
        <w:numPr>
          <w:ilvl w:val="2"/>
          <w:numId w:val="1"/>
        </w:numPr>
        <w:tabs>
          <w:tab w:val="left" w:pos="0"/>
        </w:tabs>
        <w:spacing w:line="415" w:lineRule="auto"/>
        <w:ind w:left="0" w:firstLine="420"/>
        <w:jc w:val="left"/>
        <w:rPr>
          <w:rFonts w:hAnsi="宋体"/>
          <w:sz w:val="24"/>
          <w:szCs w:val="24"/>
        </w:rPr>
      </w:pPr>
      <w:r>
        <w:rPr>
          <w:rFonts w:hint="eastAsia" w:hAnsi="宋体"/>
          <w:sz w:val="24"/>
          <w:szCs w:val="24"/>
        </w:rPr>
        <w:t>公共资源交易服务费收费标准</w:t>
      </w:r>
    </w:p>
    <w:p w14:paraId="1613E0A6">
      <w:pPr>
        <w:pStyle w:val="4"/>
        <w:tabs>
          <w:tab w:val="left" w:pos="0"/>
        </w:tabs>
        <w:ind w:firstLine="480" w:firstLineChars="200"/>
        <w:jc w:val="left"/>
        <w:rPr>
          <w:rFonts w:hAnsi="宋体"/>
          <w:sz w:val="24"/>
          <w:szCs w:val="24"/>
        </w:rPr>
      </w:pPr>
      <w:r>
        <w:rPr>
          <w:rFonts w:hint="eastAsia" w:hAnsi="宋体"/>
          <w:b w:val="0"/>
          <w:sz w:val="24"/>
          <w:szCs w:val="24"/>
        </w:rPr>
        <w:t>（1）招标额100万元以上的项目</w:t>
      </w:r>
      <w:r>
        <w:rPr>
          <w:rFonts w:hint="eastAsia" w:hAnsi="宋体"/>
          <w:sz w:val="24"/>
          <w:szCs w:val="24"/>
        </w:rPr>
        <w:t>，以招标额按差额定率累进法计算公共资源交易服务费，详见下表。</w:t>
      </w:r>
    </w:p>
    <w:tbl>
      <w:tblPr>
        <w:tblStyle w:val="13"/>
        <w:tblW w:w="0" w:type="auto"/>
        <w:jc w:val="center"/>
        <w:tblLayout w:type="fixed"/>
        <w:tblCellMar>
          <w:top w:w="0" w:type="dxa"/>
          <w:left w:w="108" w:type="dxa"/>
          <w:bottom w:w="0" w:type="dxa"/>
          <w:right w:w="108" w:type="dxa"/>
        </w:tblCellMar>
      </w:tblPr>
      <w:tblGrid>
        <w:gridCol w:w="4223"/>
        <w:gridCol w:w="1419"/>
        <w:gridCol w:w="1512"/>
        <w:gridCol w:w="1561"/>
      </w:tblGrid>
      <w:tr w14:paraId="12B0185F">
        <w:tblPrEx>
          <w:tblCellMar>
            <w:top w:w="0" w:type="dxa"/>
            <w:left w:w="108" w:type="dxa"/>
            <w:bottom w:w="0" w:type="dxa"/>
            <w:right w:w="108" w:type="dxa"/>
          </w:tblCellMar>
        </w:tblPrEx>
        <w:trPr>
          <w:trHeight w:val="449" w:hRule="atLeast"/>
          <w:jc w:val="center"/>
        </w:trPr>
        <w:tc>
          <w:tcPr>
            <w:tcW w:w="4223" w:type="dxa"/>
            <w:tcBorders>
              <w:top w:val="single" w:color="auto" w:sz="4" w:space="0"/>
              <w:left w:val="single" w:color="auto" w:sz="4" w:space="0"/>
              <w:bottom w:val="single" w:color="auto" w:sz="4" w:space="0"/>
              <w:right w:val="single" w:color="auto" w:sz="4" w:space="0"/>
            </w:tcBorders>
            <w:vAlign w:val="center"/>
          </w:tcPr>
          <w:p w14:paraId="2FC7C1A1">
            <w:pPr>
              <w:spacing w:before="100" w:beforeAutospacing="1" w:after="100" w:afterAutospacing="1" w:line="640" w:lineRule="exact"/>
              <w:jc w:val="center"/>
              <w:rPr>
                <w:rFonts w:ascii="宋体" w:hAnsi="宋体" w:cs="宋体"/>
                <w:szCs w:val="24"/>
              </w:rPr>
            </w:pPr>
            <w:r>
              <w:rPr>
                <w:rFonts w:hint="eastAsia" w:ascii="宋体" w:hAnsi="宋体" w:cs="宋体"/>
                <w:szCs w:val="24"/>
              </w:rPr>
              <w:t>招标额</w:t>
            </w:r>
          </w:p>
        </w:tc>
        <w:tc>
          <w:tcPr>
            <w:tcW w:w="1419" w:type="dxa"/>
            <w:tcBorders>
              <w:top w:val="single" w:color="auto" w:sz="4" w:space="0"/>
              <w:left w:val="single" w:color="auto" w:sz="4" w:space="0"/>
              <w:bottom w:val="single" w:color="auto" w:sz="4" w:space="0"/>
              <w:right w:val="single" w:color="auto" w:sz="4" w:space="0"/>
            </w:tcBorders>
            <w:vAlign w:val="center"/>
          </w:tcPr>
          <w:p w14:paraId="2F8E986F">
            <w:pPr>
              <w:spacing w:before="100" w:beforeAutospacing="1" w:after="100" w:afterAutospacing="1" w:line="640" w:lineRule="exact"/>
              <w:jc w:val="center"/>
              <w:rPr>
                <w:rFonts w:ascii="宋体" w:hAnsi="宋体" w:cs="宋体"/>
                <w:szCs w:val="24"/>
              </w:rPr>
            </w:pPr>
            <w:r>
              <w:rPr>
                <w:rFonts w:hint="eastAsia" w:ascii="宋体" w:hAnsi="宋体" w:cs="宋体"/>
                <w:szCs w:val="24"/>
              </w:rPr>
              <w:t>货物类</w:t>
            </w:r>
          </w:p>
        </w:tc>
        <w:tc>
          <w:tcPr>
            <w:tcW w:w="1512" w:type="dxa"/>
            <w:tcBorders>
              <w:top w:val="single" w:color="auto" w:sz="4" w:space="0"/>
              <w:left w:val="single" w:color="auto" w:sz="4" w:space="0"/>
              <w:bottom w:val="single" w:color="auto" w:sz="4" w:space="0"/>
              <w:right w:val="single" w:color="auto" w:sz="4" w:space="0"/>
            </w:tcBorders>
            <w:vAlign w:val="center"/>
          </w:tcPr>
          <w:p w14:paraId="4596927F">
            <w:pPr>
              <w:spacing w:before="100" w:beforeAutospacing="1" w:after="100" w:afterAutospacing="1" w:line="640" w:lineRule="exact"/>
              <w:jc w:val="center"/>
              <w:rPr>
                <w:rFonts w:ascii="宋体" w:hAnsi="宋体" w:cs="宋体"/>
                <w:szCs w:val="24"/>
              </w:rPr>
            </w:pPr>
            <w:r>
              <w:rPr>
                <w:rFonts w:hint="eastAsia" w:ascii="宋体" w:hAnsi="宋体" w:cs="宋体"/>
                <w:szCs w:val="24"/>
              </w:rPr>
              <w:t>服务类</w:t>
            </w:r>
          </w:p>
        </w:tc>
        <w:tc>
          <w:tcPr>
            <w:tcW w:w="1561" w:type="dxa"/>
            <w:tcBorders>
              <w:top w:val="single" w:color="auto" w:sz="4" w:space="0"/>
              <w:left w:val="single" w:color="auto" w:sz="4" w:space="0"/>
              <w:bottom w:val="single" w:color="auto" w:sz="4" w:space="0"/>
              <w:right w:val="single" w:color="auto" w:sz="4" w:space="0"/>
            </w:tcBorders>
            <w:vAlign w:val="center"/>
          </w:tcPr>
          <w:p w14:paraId="09B05521">
            <w:pPr>
              <w:spacing w:before="100" w:beforeAutospacing="1" w:after="100" w:afterAutospacing="1" w:line="640" w:lineRule="exact"/>
              <w:jc w:val="center"/>
              <w:rPr>
                <w:rFonts w:ascii="宋体" w:hAnsi="宋体" w:cs="宋体"/>
                <w:szCs w:val="24"/>
              </w:rPr>
            </w:pPr>
            <w:r>
              <w:rPr>
                <w:rFonts w:hint="eastAsia" w:ascii="宋体" w:hAnsi="宋体" w:cs="宋体"/>
                <w:szCs w:val="24"/>
              </w:rPr>
              <w:t>工程类</w:t>
            </w:r>
          </w:p>
        </w:tc>
      </w:tr>
      <w:tr w14:paraId="594D205F">
        <w:tblPrEx>
          <w:tblCellMar>
            <w:top w:w="0" w:type="dxa"/>
            <w:left w:w="108" w:type="dxa"/>
            <w:bottom w:w="0" w:type="dxa"/>
            <w:right w:w="108" w:type="dxa"/>
          </w:tblCellMar>
        </w:tblPrEx>
        <w:trPr>
          <w:trHeight w:val="90" w:hRule="atLeast"/>
          <w:jc w:val="center"/>
        </w:trPr>
        <w:tc>
          <w:tcPr>
            <w:tcW w:w="4223" w:type="dxa"/>
            <w:tcBorders>
              <w:top w:val="single" w:color="auto" w:sz="4" w:space="0"/>
              <w:left w:val="single" w:color="auto" w:sz="4" w:space="0"/>
              <w:bottom w:val="single" w:color="auto" w:sz="4" w:space="0"/>
              <w:right w:val="single" w:color="auto" w:sz="4" w:space="0"/>
            </w:tcBorders>
            <w:vAlign w:val="center"/>
          </w:tcPr>
          <w:p w14:paraId="164D75EC">
            <w:pPr>
              <w:spacing w:before="100" w:beforeAutospacing="1" w:after="100" w:afterAutospacing="1" w:line="640" w:lineRule="exact"/>
              <w:jc w:val="center"/>
              <w:rPr>
                <w:rFonts w:ascii="宋体" w:hAnsi="宋体" w:cs="宋体"/>
                <w:szCs w:val="24"/>
              </w:rPr>
            </w:pPr>
            <w:r>
              <w:rPr>
                <w:rFonts w:hint="eastAsia" w:ascii="宋体" w:hAnsi="宋体"/>
                <w:szCs w:val="24"/>
              </w:rPr>
              <w:t>招标额≤100万元</w:t>
            </w:r>
          </w:p>
        </w:tc>
        <w:tc>
          <w:tcPr>
            <w:tcW w:w="1419" w:type="dxa"/>
            <w:tcBorders>
              <w:top w:val="single" w:color="auto" w:sz="4" w:space="0"/>
              <w:left w:val="single" w:color="auto" w:sz="4" w:space="0"/>
              <w:bottom w:val="single" w:color="auto" w:sz="4" w:space="0"/>
              <w:right w:val="single" w:color="auto" w:sz="4" w:space="0"/>
            </w:tcBorders>
            <w:vAlign w:val="center"/>
          </w:tcPr>
          <w:p w14:paraId="567A462D">
            <w:pPr>
              <w:tabs>
                <w:tab w:val="left" w:pos="7560"/>
                <w:tab w:val="left" w:pos="7740"/>
              </w:tabs>
              <w:spacing w:line="640" w:lineRule="exact"/>
              <w:jc w:val="center"/>
              <w:rPr>
                <w:rFonts w:ascii="宋体" w:hAnsi="宋体"/>
                <w:color w:val="000000"/>
                <w:szCs w:val="24"/>
              </w:rPr>
            </w:pPr>
            <w:r>
              <w:rPr>
                <w:rFonts w:hint="eastAsia" w:ascii="宋体" w:hAnsi="宋体"/>
                <w:color w:val="000000"/>
                <w:szCs w:val="24"/>
              </w:rPr>
              <w:t>1.5%</w:t>
            </w:r>
          </w:p>
        </w:tc>
        <w:tc>
          <w:tcPr>
            <w:tcW w:w="1512" w:type="dxa"/>
            <w:tcBorders>
              <w:top w:val="single" w:color="auto" w:sz="4" w:space="0"/>
              <w:left w:val="single" w:color="auto" w:sz="4" w:space="0"/>
              <w:bottom w:val="single" w:color="auto" w:sz="4" w:space="0"/>
              <w:right w:val="single" w:color="auto" w:sz="4" w:space="0"/>
            </w:tcBorders>
            <w:vAlign w:val="center"/>
          </w:tcPr>
          <w:p w14:paraId="581A8A45">
            <w:pPr>
              <w:tabs>
                <w:tab w:val="left" w:pos="7560"/>
                <w:tab w:val="left" w:pos="7740"/>
              </w:tabs>
              <w:spacing w:line="640" w:lineRule="exact"/>
              <w:jc w:val="center"/>
              <w:rPr>
                <w:rFonts w:ascii="宋体" w:hAnsi="宋体"/>
                <w:color w:val="000000"/>
                <w:szCs w:val="24"/>
              </w:rPr>
            </w:pPr>
            <w:r>
              <w:rPr>
                <w:rFonts w:hint="eastAsia" w:ascii="宋体" w:hAnsi="宋体"/>
                <w:color w:val="000000"/>
                <w:szCs w:val="24"/>
              </w:rPr>
              <w:t>1.5%</w:t>
            </w:r>
          </w:p>
        </w:tc>
        <w:tc>
          <w:tcPr>
            <w:tcW w:w="1561" w:type="dxa"/>
            <w:tcBorders>
              <w:top w:val="single" w:color="auto" w:sz="4" w:space="0"/>
              <w:left w:val="single" w:color="auto" w:sz="4" w:space="0"/>
              <w:bottom w:val="single" w:color="auto" w:sz="4" w:space="0"/>
              <w:right w:val="single" w:color="auto" w:sz="4" w:space="0"/>
            </w:tcBorders>
            <w:vAlign w:val="center"/>
          </w:tcPr>
          <w:p w14:paraId="580F25C6">
            <w:pPr>
              <w:tabs>
                <w:tab w:val="left" w:pos="7560"/>
                <w:tab w:val="left" w:pos="7740"/>
              </w:tabs>
              <w:spacing w:line="640" w:lineRule="exact"/>
              <w:jc w:val="center"/>
              <w:rPr>
                <w:rFonts w:ascii="宋体" w:hAnsi="宋体"/>
                <w:color w:val="000000"/>
                <w:szCs w:val="24"/>
              </w:rPr>
            </w:pPr>
            <w:r>
              <w:rPr>
                <w:rFonts w:hint="eastAsia" w:ascii="宋体" w:hAnsi="宋体"/>
                <w:color w:val="000000"/>
                <w:szCs w:val="24"/>
              </w:rPr>
              <w:t>1.0%</w:t>
            </w:r>
          </w:p>
        </w:tc>
      </w:tr>
      <w:tr w14:paraId="246DAF07">
        <w:tblPrEx>
          <w:tblCellMar>
            <w:top w:w="0" w:type="dxa"/>
            <w:left w:w="108" w:type="dxa"/>
            <w:bottom w:w="0" w:type="dxa"/>
            <w:right w:w="108" w:type="dxa"/>
          </w:tblCellMar>
        </w:tblPrEx>
        <w:trPr>
          <w:trHeight w:val="642" w:hRule="atLeast"/>
          <w:jc w:val="center"/>
        </w:trPr>
        <w:tc>
          <w:tcPr>
            <w:tcW w:w="4223" w:type="dxa"/>
            <w:tcBorders>
              <w:top w:val="single" w:color="auto" w:sz="4" w:space="0"/>
              <w:left w:val="single" w:color="auto" w:sz="4" w:space="0"/>
              <w:bottom w:val="single" w:color="auto" w:sz="4" w:space="0"/>
              <w:right w:val="single" w:color="auto" w:sz="4" w:space="0"/>
            </w:tcBorders>
            <w:vAlign w:val="center"/>
          </w:tcPr>
          <w:p w14:paraId="1FDFB5FB">
            <w:pPr>
              <w:spacing w:before="100" w:beforeAutospacing="1" w:after="100" w:afterAutospacing="1" w:line="640" w:lineRule="exact"/>
              <w:jc w:val="center"/>
              <w:rPr>
                <w:rFonts w:ascii="宋体" w:hAnsi="宋体" w:cs="宋体"/>
                <w:szCs w:val="24"/>
              </w:rPr>
            </w:pPr>
            <w:r>
              <w:rPr>
                <w:rFonts w:hint="eastAsia" w:ascii="宋体" w:hAnsi="宋体" w:cs="宋体"/>
                <w:szCs w:val="24"/>
              </w:rPr>
              <w:t>100万元＜</w:t>
            </w:r>
            <w:r>
              <w:rPr>
                <w:rFonts w:hint="eastAsia" w:ascii="宋体" w:hAnsi="宋体"/>
                <w:szCs w:val="24"/>
              </w:rPr>
              <w:t>招标额</w:t>
            </w:r>
            <w:r>
              <w:rPr>
                <w:rFonts w:hint="eastAsia" w:ascii="宋体" w:hAnsi="宋体" w:cs="宋体"/>
                <w:szCs w:val="24"/>
              </w:rPr>
              <w:t>≤500万元</w:t>
            </w:r>
          </w:p>
        </w:tc>
        <w:tc>
          <w:tcPr>
            <w:tcW w:w="1419" w:type="dxa"/>
            <w:tcBorders>
              <w:top w:val="single" w:color="auto" w:sz="4" w:space="0"/>
              <w:left w:val="single" w:color="auto" w:sz="4" w:space="0"/>
              <w:bottom w:val="single" w:color="auto" w:sz="4" w:space="0"/>
              <w:right w:val="single" w:color="auto" w:sz="4" w:space="0"/>
            </w:tcBorders>
            <w:vAlign w:val="center"/>
          </w:tcPr>
          <w:p w14:paraId="0A70ECA0">
            <w:pPr>
              <w:tabs>
                <w:tab w:val="left" w:pos="7560"/>
                <w:tab w:val="left" w:pos="7740"/>
              </w:tabs>
              <w:spacing w:line="640" w:lineRule="exact"/>
              <w:jc w:val="center"/>
              <w:rPr>
                <w:rFonts w:ascii="宋体" w:hAnsi="宋体"/>
                <w:color w:val="000000"/>
                <w:szCs w:val="24"/>
              </w:rPr>
            </w:pPr>
            <w:r>
              <w:rPr>
                <w:rFonts w:hint="eastAsia" w:ascii="宋体" w:hAnsi="宋体"/>
                <w:color w:val="000000"/>
                <w:szCs w:val="24"/>
              </w:rPr>
              <w:t>1.1%</w:t>
            </w:r>
          </w:p>
        </w:tc>
        <w:tc>
          <w:tcPr>
            <w:tcW w:w="1512" w:type="dxa"/>
            <w:tcBorders>
              <w:top w:val="single" w:color="auto" w:sz="4" w:space="0"/>
              <w:left w:val="single" w:color="auto" w:sz="4" w:space="0"/>
              <w:bottom w:val="single" w:color="auto" w:sz="4" w:space="0"/>
              <w:right w:val="single" w:color="auto" w:sz="4" w:space="0"/>
            </w:tcBorders>
            <w:vAlign w:val="center"/>
          </w:tcPr>
          <w:p w14:paraId="075CE21C">
            <w:pPr>
              <w:tabs>
                <w:tab w:val="left" w:pos="7560"/>
                <w:tab w:val="left" w:pos="7740"/>
              </w:tabs>
              <w:spacing w:line="640" w:lineRule="exact"/>
              <w:jc w:val="center"/>
              <w:rPr>
                <w:rFonts w:ascii="宋体" w:hAnsi="宋体"/>
                <w:color w:val="000000"/>
                <w:szCs w:val="24"/>
              </w:rPr>
            </w:pPr>
            <w:r>
              <w:rPr>
                <w:rFonts w:hint="eastAsia" w:ascii="宋体" w:hAnsi="宋体"/>
                <w:color w:val="000000"/>
                <w:szCs w:val="24"/>
              </w:rPr>
              <w:t>0.8%</w:t>
            </w:r>
          </w:p>
        </w:tc>
        <w:tc>
          <w:tcPr>
            <w:tcW w:w="1561" w:type="dxa"/>
            <w:tcBorders>
              <w:top w:val="single" w:color="auto" w:sz="4" w:space="0"/>
              <w:left w:val="single" w:color="auto" w:sz="4" w:space="0"/>
              <w:bottom w:val="single" w:color="auto" w:sz="4" w:space="0"/>
              <w:right w:val="single" w:color="auto" w:sz="4" w:space="0"/>
            </w:tcBorders>
            <w:vAlign w:val="center"/>
          </w:tcPr>
          <w:p w14:paraId="21B5C88A">
            <w:pPr>
              <w:tabs>
                <w:tab w:val="left" w:pos="7560"/>
                <w:tab w:val="left" w:pos="7740"/>
              </w:tabs>
              <w:spacing w:line="640" w:lineRule="exact"/>
              <w:jc w:val="center"/>
              <w:rPr>
                <w:rFonts w:ascii="宋体" w:hAnsi="宋体"/>
                <w:color w:val="000000"/>
                <w:szCs w:val="24"/>
              </w:rPr>
            </w:pPr>
            <w:r>
              <w:rPr>
                <w:rFonts w:hint="eastAsia" w:ascii="宋体" w:hAnsi="宋体"/>
                <w:color w:val="000000"/>
                <w:szCs w:val="24"/>
              </w:rPr>
              <w:t>0.7%</w:t>
            </w:r>
          </w:p>
        </w:tc>
      </w:tr>
      <w:tr w14:paraId="722B9B3F">
        <w:tblPrEx>
          <w:tblCellMar>
            <w:top w:w="0" w:type="dxa"/>
            <w:left w:w="108" w:type="dxa"/>
            <w:bottom w:w="0" w:type="dxa"/>
            <w:right w:w="108" w:type="dxa"/>
          </w:tblCellMar>
        </w:tblPrEx>
        <w:trPr>
          <w:jc w:val="center"/>
        </w:trPr>
        <w:tc>
          <w:tcPr>
            <w:tcW w:w="4223" w:type="dxa"/>
            <w:tcBorders>
              <w:top w:val="single" w:color="auto" w:sz="4" w:space="0"/>
              <w:left w:val="single" w:color="auto" w:sz="4" w:space="0"/>
              <w:bottom w:val="single" w:color="auto" w:sz="4" w:space="0"/>
              <w:right w:val="single" w:color="auto" w:sz="4" w:space="0"/>
            </w:tcBorders>
            <w:vAlign w:val="center"/>
          </w:tcPr>
          <w:p w14:paraId="5E5666DC">
            <w:pPr>
              <w:spacing w:before="100" w:beforeAutospacing="1" w:after="100" w:afterAutospacing="1" w:line="640" w:lineRule="exact"/>
              <w:jc w:val="center"/>
              <w:rPr>
                <w:rFonts w:ascii="宋体" w:hAnsi="宋体" w:cs="宋体"/>
                <w:szCs w:val="24"/>
              </w:rPr>
            </w:pPr>
            <w:r>
              <w:rPr>
                <w:rFonts w:hint="eastAsia" w:ascii="宋体" w:hAnsi="宋体" w:cs="宋体"/>
                <w:szCs w:val="24"/>
              </w:rPr>
              <w:t>500万元＜</w:t>
            </w:r>
            <w:r>
              <w:rPr>
                <w:rFonts w:hint="eastAsia" w:ascii="宋体" w:hAnsi="宋体"/>
                <w:szCs w:val="24"/>
              </w:rPr>
              <w:t>招标额</w:t>
            </w:r>
            <w:r>
              <w:rPr>
                <w:rFonts w:hint="eastAsia" w:ascii="宋体" w:hAnsi="宋体" w:cs="宋体"/>
                <w:szCs w:val="24"/>
              </w:rPr>
              <w:t>≤1000万元</w:t>
            </w:r>
          </w:p>
        </w:tc>
        <w:tc>
          <w:tcPr>
            <w:tcW w:w="1419" w:type="dxa"/>
            <w:tcBorders>
              <w:top w:val="single" w:color="auto" w:sz="4" w:space="0"/>
              <w:left w:val="single" w:color="auto" w:sz="4" w:space="0"/>
              <w:bottom w:val="single" w:color="auto" w:sz="4" w:space="0"/>
              <w:right w:val="single" w:color="auto" w:sz="4" w:space="0"/>
            </w:tcBorders>
            <w:vAlign w:val="center"/>
          </w:tcPr>
          <w:p w14:paraId="57257D88">
            <w:pPr>
              <w:tabs>
                <w:tab w:val="left" w:pos="7560"/>
                <w:tab w:val="left" w:pos="7740"/>
              </w:tabs>
              <w:spacing w:line="640" w:lineRule="exact"/>
              <w:jc w:val="center"/>
              <w:rPr>
                <w:rFonts w:ascii="宋体" w:hAnsi="宋体"/>
                <w:color w:val="000000"/>
                <w:szCs w:val="24"/>
              </w:rPr>
            </w:pPr>
            <w:r>
              <w:rPr>
                <w:rFonts w:hint="eastAsia" w:ascii="宋体" w:hAnsi="宋体"/>
                <w:color w:val="000000"/>
                <w:szCs w:val="24"/>
              </w:rPr>
              <w:t>0.8%</w:t>
            </w:r>
          </w:p>
        </w:tc>
        <w:tc>
          <w:tcPr>
            <w:tcW w:w="1512" w:type="dxa"/>
            <w:tcBorders>
              <w:top w:val="single" w:color="auto" w:sz="4" w:space="0"/>
              <w:left w:val="single" w:color="auto" w:sz="4" w:space="0"/>
              <w:bottom w:val="single" w:color="auto" w:sz="4" w:space="0"/>
              <w:right w:val="single" w:color="auto" w:sz="4" w:space="0"/>
            </w:tcBorders>
            <w:vAlign w:val="center"/>
          </w:tcPr>
          <w:p w14:paraId="27A4AEE4">
            <w:pPr>
              <w:tabs>
                <w:tab w:val="left" w:pos="7560"/>
                <w:tab w:val="left" w:pos="7740"/>
              </w:tabs>
              <w:spacing w:line="640" w:lineRule="exact"/>
              <w:jc w:val="center"/>
              <w:rPr>
                <w:rFonts w:ascii="宋体" w:hAnsi="宋体"/>
                <w:color w:val="000000"/>
                <w:szCs w:val="24"/>
              </w:rPr>
            </w:pPr>
            <w:r>
              <w:rPr>
                <w:rFonts w:hint="eastAsia" w:ascii="宋体" w:hAnsi="宋体"/>
                <w:color w:val="000000"/>
                <w:szCs w:val="24"/>
              </w:rPr>
              <w:t>0.45%</w:t>
            </w:r>
          </w:p>
        </w:tc>
        <w:tc>
          <w:tcPr>
            <w:tcW w:w="1561" w:type="dxa"/>
            <w:tcBorders>
              <w:top w:val="single" w:color="auto" w:sz="4" w:space="0"/>
              <w:left w:val="single" w:color="auto" w:sz="4" w:space="0"/>
              <w:bottom w:val="single" w:color="auto" w:sz="4" w:space="0"/>
              <w:right w:val="single" w:color="auto" w:sz="4" w:space="0"/>
            </w:tcBorders>
            <w:vAlign w:val="center"/>
          </w:tcPr>
          <w:p w14:paraId="65F307A9">
            <w:pPr>
              <w:tabs>
                <w:tab w:val="left" w:pos="7560"/>
                <w:tab w:val="left" w:pos="7740"/>
              </w:tabs>
              <w:spacing w:line="640" w:lineRule="exact"/>
              <w:jc w:val="center"/>
              <w:rPr>
                <w:rFonts w:ascii="宋体" w:hAnsi="宋体"/>
                <w:color w:val="000000"/>
                <w:szCs w:val="24"/>
              </w:rPr>
            </w:pPr>
            <w:r>
              <w:rPr>
                <w:rFonts w:hint="eastAsia" w:ascii="宋体" w:hAnsi="宋体"/>
                <w:color w:val="000000"/>
                <w:szCs w:val="24"/>
              </w:rPr>
              <w:t>0.55%</w:t>
            </w:r>
          </w:p>
        </w:tc>
      </w:tr>
      <w:tr w14:paraId="5DED1211">
        <w:tblPrEx>
          <w:tblCellMar>
            <w:top w:w="0" w:type="dxa"/>
            <w:left w:w="108" w:type="dxa"/>
            <w:bottom w:w="0" w:type="dxa"/>
            <w:right w:w="108" w:type="dxa"/>
          </w:tblCellMar>
        </w:tblPrEx>
        <w:trPr>
          <w:jc w:val="center"/>
        </w:trPr>
        <w:tc>
          <w:tcPr>
            <w:tcW w:w="4223" w:type="dxa"/>
            <w:tcBorders>
              <w:top w:val="single" w:color="auto" w:sz="4" w:space="0"/>
              <w:left w:val="single" w:color="auto" w:sz="4" w:space="0"/>
              <w:bottom w:val="single" w:color="auto" w:sz="4" w:space="0"/>
              <w:right w:val="single" w:color="auto" w:sz="4" w:space="0"/>
            </w:tcBorders>
            <w:vAlign w:val="center"/>
          </w:tcPr>
          <w:p w14:paraId="23B6447A">
            <w:pPr>
              <w:spacing w:before="100" w:beforeAutospacing="1" w:after="100" w:afterAutospacing="1" w:line="640" w:lineRule="exact"/>
              <w:jc w:val="center"/>
              <w:rPr>
                <w:rFonts w:ascii="宋体" w:hAnsi="宋体" w:cs="宋体"/>
                <w:szCs w:val="24"/>
              </w:rPr>
            </w:pPr>
            <w:r>
              <w:rPr>
                <w:rFonts w:hint="eastAsia" w:ascii="宋体" w:hAnsi="宋体" w:cs="宋体"/>
                <w:szCs w:val="24"/>
              </w:rPr>
              <w:t>1000万元＜</w:t>
            </w:r>
            <w:r>
              <w:rPr>
                <w:rFonts w:hint="eastAsia" w:ascii="宋体" w:hAnsi="宋体"/>
                <w:szCs w:val="24"/>
              </w:rPr>
              <w:t>招标额</w:t>
            </w:r>
            <w:r>
              <w:rPr>
                <w:rFonts w:hint="eastAsia" w:ascii="宋体" w:hAnsi="宋体" w:cs="宋体"/>
                <w:szCs w:val="24"/>
              </w:rPr>
              <w:t>≤5000万元</w:t>
            </w:r>
          </w:p>
        </w:tc>
        <w:tc>
          <w:tcPr>
            <w:tcW w:w="1419" w:type="dxa"/>
            <w:tcBorders>
              <w:top w:val="single" w:color="auto" w:sz="4" w:space="0"/>
              <w:left w:val="single" w:color="auto" w:sz="4" w:space="0"/>
              <w:bottom w:val="single" w:color="auto" w:sz="4" w:space="0"/>
              <w:right w:val="single" w:color="auto" w:sz="4" w:space="0"/>
            </w:tcBorders>
            <w:vAlign w:val="center"/>
          </w:tcPr>
          <w:p w14:paraId="67DFC75F">
            <w:pPr>
              <w:tabs>
                <w:tab w:val="left" w:pos="7560"/>
                <w:tab w:val="left" w:pos="7740"/>
              </w:tabs>
              <w:spacing w:line="640" w:lineRule="exact"/>
              <w:jc w:val="center"/>
              <w:rPr>
                <w:rFonts w:ascii="宋体" w:hAnsi="宋体"/>
                <w:color w:val="000000"/>
                <w:szCs w:val="24"/>
              </w:rPr>
            </w:pPr>
            <w:r>
              <w:rPr>
                <w:rFonts w:hint="eastAsia" w:ascii="宋体" w:hAnsi="宋体"/>
                <w:color w:val="000000"/>
                <w:szCs w:val="24"/>
              </w:rPr>
              <w:t>0.5%</w:t>
            </w:r>
          </w:p>
        </w:tc>
        <w:tc>
          <w:tcPr>
            <w:tcW w:w="1512" w:type="dxa"/>
            <w:tcBorders>
              <w:top w:val="single" w:color="auto" w:sz="4" w:space="0"/>
              <w:left w:val="single" w:color="auto" w:sz="4" w:space="0"/>
              <w:bottom w:val="single" w:color="auto" w:sz="4" w:space="0"/>
              <w:right w:val="single" w:color="auto" w:sz="4" w:space="0"/>
            </w:tcBorders>
            <w:vAlign w:val="center"/>
          </w:tcPr>
          <w:p w14:paraId="35759D4F">
            <w:pPr>
              <w:tabs>
                <w:tab w:val="left" w:pos="7560"/>
                <w:tab w:val="left" w:pos="7740"/>
              </w:tabs>
              <w:spacing w:line="640" w:lineRule="exact"/>
              <w:jc w:val="center"/>
              <w:rPr>
                <w:rFonts w:ascii="宋体" w:hAnsi="宋体"/>
                <w:color w:val="000000"/>
                <w:szCs w:val="24"/>
              </w:rPr>
            </w:pPr>
            <w:r>
              <w:rPr>
                <w:rFonts w:hint="eastAsia" w:ascii="宋体" w:hAnsi="宋体"/>
                <w:color w:val="000000"/>
                <w:szCs w:val="24"/>
              </w:rPr>
              <w:t>0.25%</w:t>
            </w:r>
          </w:p>
        </w:tc>
        <w:tc>
          <w:tcPr>
            <w:tcW w:w="1561" w:type="dxa"/>
            <w:tcBorders>
              <w:top w:val="single" w:color="auto" w:sz="4" w:space="0"/>
              <w:left w:val="single" w:color="auto" w:sz="4" w:space="0"/>
              <w:bottom w:val="single" w:color="auto" w:sz="4" w:space="0"/>
              <w:right w:val="single" w:color="auto" w:sz="4" w:space="0"/>
            </w:tcBorders>
            <w:vAlign w:val="center"/>
          </w:tcPr>
          <w:p w14:paraId="0DBA1633">
            <w:pPr>
              <w:tabs>
                <w:tab w:val="left" w:pos="7560"/>
                <w:tab w:val="left" w:pos="7740"/>
              </w:tabs>
              <w:spacing w:line="640" w:lineRule="exact"/>
              <w:jc w:val="center"/>
              <w:rPr>
                <w:rFonts w:ascii="宋体" w:hAnsi="宋体"/>
                <w:color w:val="000000"/>
                <w:szCs w:val="24"/>
              </w:rPr>
            </w:pPr>
            <w:r>
              <w:rPr>
                <w:rFonts w:hint="eastAsia" w:ascii="宋体" w:hAnsi="宋体"/>
                <w:color w:val="000000"/>
                <w:szCs w:val="24"/>
              </w:rPr>
              <w:t>0.35%</w:t>
            </w:r>
          </w:p>
        </w:tc>
      </w:tr>
      <w:tr w14:paraId="13724E5A">
        <w:tblPrEx>
          <w:tblCellMar>
            <w:top w:w="0" w:type="dxa"/>
            <w:left w:w="108" w:type="dxa"/>
            <w:bottom w:w="0" w:type="dxa"/>
            <w:right w:w="108" w:type="dxa"/>
          </w:tblCellMar>
        </w:tblPrEx>
        <w:trPr>
          <w:jc w:val="center"/>
        </w:trPr>
        <w:tc>
          <w:tcPr>
            <w:tcW w:w="4223" w:type="dxa"/>
            <w:tcBorders>
              <w:top w:val="single" w:color="auto" w:sz="4" w:space="0"/>
              <w:left w:val="single" w:color="auto" w:sz="4" w:space="0"/>
              <w:bottom w:val="single" w:color="auto" w:sz="4" w:space="0"/>
              <w:right w:val="single" w:color="auto" w:sz="4" w:space="0"/>
            </w:tcBorders>
            <w:vAlign w:val="center"/>
          </w:tcPr>
          <w:p w14:paraId="5B165582">
            <w:pPr>
              <w:spacing w:before="100" w:beforeAutospacing="1" w:after="100" w:afterAutospacing="1" w:line="640" w:lineRule="exact"/>
              <w:ind w:left="15" w:hanging="14" w:hangingChars="7"/>
              <w:jc w:val="center"/>
              <w:rPr>
                <w:rFonts w:ascii="宋体" w:hAnsi="宋体" w:cs="宋体"/>
                <w:szCs w:val="24"/>
              </w:rPr>
            </w:pPr>
            <w:r>
              <w:rPr>
                <w:rFonts w:hint="eastAsia" w:ascii="宋体" w:hAnsi="宋体" w:cs="宋体"/>
                <w:szCs w:val="24"/>
              </w:rPr>
              <w:t>5000万元＜</w:t>
            </w:r>
            <w:r>
              <w:rPr>
                <w:rFonts w:hint="eastAsia" w:ascii="宋体" w:hAnsi="宋体"/>
                <w:szCs w:val="24"/>
              </w:rPr>
              <w:t>招标额</w:t>
            </w:r>
            <w:r>
              <w:rPr>
                <w:rFonts w:hint="eastAsia" w:ascii="宋体" w:hAnsi="宋体" w:cs="宋体"/>
                <w:szCs w:val="24"/>
              </w:rPr>
              <w:t>≤1亿元</w:t>
            </w:r>
          </w:p>
        </w:tc>
        <w:tc>
          <w:tcPr>
            <w:tcW w:w="1419" w:type="dxa"/>
            <w:tcBorders>
              <w:top w:val="single" w:color="auto" w:sz="4" w:space="0"/>
              <w:left w:val="single" w:color="auto" w:sz="4" w:space="0"/>
              <w:bottom w:val="single" w:color="auto" w:sz="4" w:space="0"/>
              <w:right w:val="single" w:color="auto" w:sz="4" w:space="0"/>
            </w:tcBorders>
            <w:vAlign w:val="center"/>
          </w:tcPr>
          <w:p w14:paraId="44F885D1">
            <w:pPr>
              <w:tabs>
                <w:tab w:val="left" w:pos="7560"/>
                <w:tab w:val="left" w:pos="7740"/>
              </w:tabs>
              <w:spacing w:line="640" w:lineRule="exact"/>
              <w:jc w:val="center"/>
              <w:rPr>
                <w:rFonts w:ascii="宋体" w:hAnsi="宋体"/>
                <w:color w:val="000000"/>
                <w:szCs w:val="24"/>
              </w:rPr>
            </w:pPr>
            <w:r>
              <w:rPr>
                <w:rFonts w:hint="eastAsia" w:ascii="宋体" w:hAnsi="宋体"/>
                <w:color w:val="000000"/>
                <w:szCs w:val="24"/>
              </w:rPr>
              <w:t>0.25%</w:t>
            </w:r>
          </w:p>
        </w:tc>
        <w:tc>
          <w:tcPr>
            <w:tcW w:w="1512" w:type="dxa"/>
            <w:tcBorders>
              <w:top w:val="single" w:color="auto" w:sz="4" w:space="0"/>
              <w:left w:val="single" w:color="auto" w:sz="4" w:space="0"/>
              <w:bottom w:val="single" w:color="auto" w:sz="4" w:space="0"/>
              <w:right w:val="single" w:color="auto" w:sz="4" w:space="0"/>
            </w:tcBorders>
            <w:vAlign w:val="center"/>
          </w:tcPr>
          <w:p w14:paraId="18C0FB47">
            <w:pPr>
              <w:tabs>
                <w:tab w:val="left" w:pos="7560"/>
                <w:tab w:val="left" w:pos="7740"/>
              </w:tabs>
              <w:spacing w:line="640" w:lineRule="exact"/>
              <w:jc w:val="center"/>
              <w:rPr>
                <w:rFonts w:ascii="宋体" w:hAnsi="宋体"/>
                <w:color w:val="000000"/>
                <w:szCs w:val="24"/>
              </w:rPr>
            </w:pPr>
            <w:r>
              <w:rPr>
                <w:rFonts w:hint="eastAsia" w:ascii="宋体" w:hAnsi="宋体"/>
                <w:color w:val="000000"/>
                <w:szCs w:val="24"/>
              </w:rPr>
              <w:t>0.1%</w:t>
            </w:r>
          </w:p>
        </w:tc>
        <w:tc>
          <w:tcPr>
            <w:tcW w:w="1561" w:type="dxa"/>
            <w:tcBorders>
              <w:top w:val="single" w:color="auto" w:sz="4" w:space="0"/>
              <w:left w:val="single" w:color="auto" w:sz="4" w:space="0"/>
              <w:bottom w:val="single" w:color="auto" w:sz="4" w:space="0"/>
              <w:right w:val="single" w:color="auto" w:sz="4" w:space="0"/>
            </w:tcBorders>
            <w:vAlign w:val="center"/>
          </w:tcPr>
          <w:p w14:paraId="3C9240B3">
            <w:pPr>
              <w:tabs>
                <w:tab w:val="left" w:pos="7560"/>
                <w:tab w:val="left" w:pos="7740"/>
              </w:tabs>
              <w:spacing w:line="640" w:lineRule="exact"/>
              <w:jc w:val="center"/>
              <w:rPr>
                <w:rFonts w:ascii="宋体" w:hAnsi="宋体"/>
                <w:color w:val="000000"/>
                <w:szCs w:val="24"/>
              </w:rPr>
            </w:pPr>
            <w:r>
              <w:rPr>
                <w:rFonts w:hint="eastAsia" w:ascii="宋体" w:hAnsi="宋体"/>
                <w:color w:val="000000"/>
                <w:szCs w:val="24"/>
              </w:rPr>
              <w:t>0.2%</w:t>
            </w:r>
          </w:p>
        </w:tc>
      </w:tr>
      <w:tr w14:paraId="6154B4D7">
        <w:tblPrEx>
          <w:tblCellMar>
            <w:top w:w="0" w:type="dxa"/>
            <w:left w:w="108" w:type="dxa"/>
            <w:bottom w:w="0" w:type="dxa"/>
            <w:right w:w="108" w:type="dxa"/>
          </w:tblCellMar>
        </w:tblPrEx>
        <w:trPr>
          <w:jc w:val="center"/>
        </w:trPr>
        <w:tc>
          <w:tcPr>
            <w:tcW w:w="4223" w:type="dxa"/>
            <w:tcBorders>
              <w:top w:val="single" w:color="auto" w:sz="4" w:space="0"/>
              <w:left w:val="single" w:color="auto" w:sz="4" w:space="0"/>
              <w:bottom w:val="single" w:color="auto" w:sz="4" w:space="0"/>
              <w:right w:val="single" w:color="auto" w:sz="4" w:space="0"/>
            </w:tcBorders>
            <w:vAlign w:val="center"/>
          </w:tcPr>
          <w:p w14:paraId="32E52999">
            <w:pPr>
              <w:spacing w:before="100" w:beforeAutospacing="1" w:after="100" w:afterAutospacing="1" w:line="640" w:lineRule="exact"/>
              <w:ind w:left="15" w:hanging="14" w:hangingChars="7"/>
              <w:jc w:val="center"/>
              <w:rPr>
                <w:rFonts w:ascii="宋体" w:hAnsi="宋体" w:cs="宋体"/>
                <w:szCs w:val="24"/>
              </w:rPr>
            </w:pPr>
            <w:r>
              <w:rPr>
                <w:rFonts w:hint="eastAsia" w:ascii="宋体" w:hAnsi="宋体" w:cs="宋体"/>
                <w:szCs w:val="24"/>
              </w:rPr>
              <w:t>1亿元＜</w:t>
            </w:r>
            <w:r>
              <w:rPr>
                <w:rFonts w:hint="eastAsia" w:ascii="宋体" w:hAnsi="宋体"/>
                <w:szCs w:val="24"/>
              </w:rPr>
              <w:t>招标额</w:t>
            </w:r>
            <w:r>
              <w:rPr>
                <w:rFonts w:hint="eastAsia" w:ascii="宋体" w:hAnsi="宋体" w:cs="宋体"/>
                <w:szCs w:val="24"/>
              </w:rPr>
              <w:t>≤5亿元</w:t>
            </w:r>
          </w:p>
        </w:tc>
        <w:tc>
          <w:tcPr>
            <w:tcW w:w="1419" w:type="dxa"/>
            <w:tcBorders>
              <w:top w:val="single" w:color="auto" w:sz="4" w:space="0"/>
              <w:left w:val="single" w:color="auto" w:sz="4" w:space="0"/>
              <w:bottom w:val="single" w:color="auto" w:sz="4" w:space="0"/>
              <w:right w:val="single" w:color="auto" w:sz="4" w:space="0"/>
            </w:tcBorders>
            <w:vAlign w:val="center"/>
          </w:tcPr>
          <w:p w14:paraId="6D47EA9C">
            <w:pPr>
              <w:tabs>
                <w:tab w:val="left" w:pos="7560"/>
                <w:tab w:val="left" w:pos="7740"/>
              </w:tabs>
              <w:spacing w:line="640" w:lineRule="exact"/>
              <w:jc w:val="center"/>
              <w:rPr>
                <w:rFonts w:ascii="宋体" w:hAnsi="宋体"/>
                <w:color w:val="000000"/>
                <w:szCs w:val="24"/>
              </w:rPr>
            </w:pPr>
            <w:r>
              <w:rPr>
                <w:rFonts w:hint="eastAsia" w:ascii="宋体" w:hAnsi="宋体"/>
                <w:color w:val="000000"/>
                <w:szCs w:val="24"/>
              </w:rPr>
              <w:t>0.05%</w:t>
            </w:r>
          </w:p>
        </w:tc>
        <w:tc>
          <w:tcPr>
            <w:tcW w:w="1512" w:type="dxa"/>
            <w:tcBorders>
              <w:top w:val="single" w:color="auto" w:sz="4" w:space="0"/>
              <w:left w:val="single" w:color="auto" w:sz="4" w:space="0"/>
              <w:bottom w:val="single" w:color="auto" w:sz="4" w:space="0"/>
              <w:right w:val="single" w:color="auto" w:sz="4" w:space="0"/>
            </w:tcBorders>
            <w:vAlign w:val="center"/>
          </w:tcPr>
          <w:p w14:paraId="22E5B9F0">
            <w:pPr>
              <w:tabs>
                <w:tab w:val="left" w:pos="7560"/>
                <w:tab w:val="left" w:pos="7740"/>
              </w:tabs>
              <w:spacing w:line="640" w:lineRule="exact"/>
              <w:jc w:val="center"/>
              <w:rPr>
                <w:rFonts w:ascii="宋体" w:hAnsi="宋体"/>
                <w:color w:val="000000"/>
                <w:szCs w:val="24"/>
              </w:rPr>
            </w:pPr>
            <w:r>
              <w:rPr>
                <w:rFonts w:hint="eastAsia" w:ascii="宋体" w:hAnsi="宋体"/>
                <w:color w:val="000000"/>
                <w:szCs w:val="24"/>
              </w:rPr>
              <w:t>0.05%</w:t>
            </w:r>
          </w:p>
        </w:tc>
        <w:tc>
          <w:tcPr>
            <w:tcW w:w="1561" w:type="dxa"/>
            <w:tcBorders>
              <w:top w:val="single" w:color="auto" w:sz="4" w:space="0"/>
              <w:left w:val="single" w:color="auto" w:sz="4" w:space="0"/>
              <w:bottom w:val="single" w:color="auto" w:sz="4" w:space="0"/>
              <w:right w:val="single" w:color="auto" w:sz="4" w:space="0"/>
            </w:tcBorders>
            <w:vAlign w:val="center"/>
          </w:tcPr>
          <w:p w14:paraId="4EC4FEC2">
            <w:pPr>
              <w:tabs>
                <w:tab w:val="left" w:pos="7560"/>
                <w:tab w:val="left" w:pos="7740"/>
              </w:tabs>
              <w:spacing w:line="640" w:lineRule="exact"/>
              <w:jc w:val="center"/>
              <w:rPr>
                <w:rFonts w:ascii="宋体" w:hAnsi="宋体"/>
                <w:color w:val="000000"/>
                <w:szCs w:val="24"/>
              </w:rPr>
            </w:pPr>
            <w:r>
              <w:rPr>
                <w:rFonts w:hint="eastAsia" w:ascii="宋体" w:hAnsi="宋体"/>
                <w:color w:val="000000"/>
                <w:szCs w:val="24"/>
              </w:rPr>
              <w:t>0.05%</w:t>
            </w:r>
          </w:p>
        </w:tc>
      </w:tr>
      <w:tr w14:paraId="1E951717">
        <w:tblPrEx>
          <w:tblCellMar>
            <w:top w:w="0" w:type="dxa"/>
            <w:left w:w="108" w:type="dxa"/>
            <w:bottom w:w="0" w:type="dxa"/>
            <w:right w:w="108" w:type="dxa"/>
          </w:tblCellMar>
        </w:tblPrEx>
        <w:trPr>
          <w:jc w:val="center"/>
        </w:trPr>
        <w:tc>
          <w:tcPr>
            <w:tcW w:w="4223" w:type="dxa"/>
            <w:tcBorders>
              <w:top w:val="single" w:color="auto" w:sz="4" w:space="0"/>
              <w:left w:val="single" w:color="auto" w:sz="4" w:space="0"/>
              <w:bottom w:val="single" w:color="auto" w:sz="4" w:space="0"/>
              <w:right w:val="single" w:color="auto" w:sz="4" w:space="0"/>
            </w:tcBorders>
            <w:vAlign w:val="center"/>
          </w:tcPr>
          <w:p w14:paraId="6896A071">
            <w:pPr>
              <w:spacing w:before="100" w:beforeAutospacing="1" w:after="100" w:afterAutospacing="1" w:line="640" w:lineRule="exact"/>
              <w:ind w:left="15" w:hanging="14" w:hangingChars="7"/>
              <w:jc w:val="center"/>
              <w:rPr>
                <w:rFonts w:ascii="宋体" w:hAnsi="宋体" w:cs="宋体"/>
                <w:szCs w:val="24"/>
              </w:rPr>
            </w:pPr>
            <w:r>
              <w:rPr>
                <w:rFonts w:hint="eastAsia" w:ascii="宋体" w:hAnsi="宋体" w:cs="宋体"/>
                <w:szCs w:val="24"/>
              </w:rPr>
              <w:t>5亿元＜</w:t>
            </w:r>
            <w:r>
              <w:rPr>
                <w:rFonts w:hint="eastAsia" w:ascii="宋体" w:hAnsi="宋体"/>
                <w:szCs w:val="24"/>
              </w:rPr>
              <w:t>招标额</w:t>
            </w:r>
            <w:r>
              <w:rPr>
                <w:rFonts w:hint="eastAsia" w:ascii="宋体" w:hAnsi="宋体" w:cs="宋体"/>
                <w:szCs w:val="24"/>
              </w:rPr>
              <w:t>≤10亿元</w:t>
            </w:r>
          </w:p>
        </w:tc>
        <w:tc>
          <w:tcPr>
            <w:tcW w:w="1419" w:type="dxa"/>
            <w:tcBorders>
              <w:top w:val="single" w:color="auto" w:sz="4" w:space="0"/>
              <w:left w:val="single" w:color="auto" w:sz="4" w:space="0"/>
              <w:bottom w:val="single" w:color="auto" w:sz="4" w:space="0"/>
              <w:right w:val="single" w:color="auto" w:sz="4" w:space="0"/>
            </w:tcBorders>
            <w:vAlign w:val="center"/>
          </w:tcPr>
          <w:p w14:paraId="3A971F53">
            <w:pPr>
              <w:tabs>
                <w:tab w:val="left" w:pos="7560"/>
                <w:tab w:val="left" w:pos="7740"/>
              </w:tabs>
              <w:spacing w:line="640" w:lineRule="exact"/>
              <w:jc w:val="center"/>
              <w:rPr>
                <w:rFonts w:ascii="宋体" w:hAnsi="宋体"/>
                <w:color w:val="000000"/>
                <w:szCs w:val="24"/>
              </w:rPr>
            </w:pPr>
            <w:r>
              <w:rPr>
                <w:rFonts w:hint="eastAsia" w:ascii="宋体" w:hAnsi="宋体"/>
                <w:color w:val="000000"/>
                <w:szCs w:val="24"/>
              </w:rPr>
              <w:t>0.035%</w:t>
            </w:r>
          </w:p>
        </w:tc>
        <w:tc>
          <w:tcPr>
            <w:tcW w:w="1512" w:type="dxa"/>
            <w:tcBorders>
              <w:top w:val="single" w:color="auto" w:sz="4" w:space="0"/>
              <w:left w:val="single" w:color="auto" w:sz="4" w:space="0"/>
              <w:bottom w:val="single" w:color="auto" w:sz="4" w:space="0"/>
              <w:right w:val="single" w:color="auto" w:sz="4" w:space="0"/>
            </w:tcBorders>
            <w:vAlign w:val="center"/>
          </w:tcPr>
          <w:p w14:paraId="6D92618E">
            <w:pPr>
              <w:tabs>
                <w:tab w:val="left" w:pos="7560"/>
                <w:tab w:val="left" w:pos="7740"/>
              </w:tabs>
              <w:spacing w:line="640" w:lineRule="exact"/>
              <w:jc w:val="center"/>
              <w:rPr>
                <w:rFonts w:ascii="宋体" w:hAnsi="宋体"/>
                <w:color w:val="000000"/>
                <w:szCs w:val="24"/>
              </w:rPr>
            </w:pPr>
            <w:r>
              <w:rPr>
                <w:rFonts w:hint="eastAsia" w:ascii="宋体" w:hAnsi="宋体"/>
                <w:color w:val="000000"/>
                <w:szCs w:val="24"/>
              </w:rPr>
              <w:t>0.035%</w:t>
            </w:r>
          </w:p>
        </w:tc>
        <w:tc>
          <w:tcPr>
            <w:tcW w:w="1561" w:type="dxa"/>
            <w:tcBorders>
              <w:top w:val="single" w:color="auto" w:sz="4" w:space="0"/>
              <w:left w:val="single" w:color="auto" w:sz="4" w:space="0"/>
              <w:bottom w:val="single" w:color="auto" w:sz="4" w:space="0"/>
              <w:right w:val="single" w:color="auto" w:sz="4" w:space="0"/>
            </w:tcBorders>
            <w:vAlign w:val="center"/>
          </w:tcPr>
          <w:p w14:paraId="782A5BA8">
            <w:pPr>
              <w:tabs>
                <w:tab w:val="left" w:pos="7560"/>
                <w:tab w:val="left" w:pos="7740"/>
              </w:tabs>
              <w:spacing w:line="640" w:lineRule="exact"/>
              <w:jc w:val="center"/>
              <w:rPr>
                <w:rFonts w:ascii="宋体" w:hAnsi="宋体"/>
                <w:color w:val="000000"/>
                <w:szCs w:val="24"/>
              </w:rPr>
            </w:pPr>
            <w:r>
              <w:rPr>
                <w:rFonts w:hint="eastAsia" w:ascii="宋体" w:hAnsi="宋体"/>
                <w:color w:val="000000"/>
                <w:szCs w:val="24"/>
              </w:rPr>
              <w:t>0.035%</w:t>
            </w:r>
          </w:p>
        </w:tc>
      </w:tr>
      <w:tr w14:paraId="00639DC1">
        <w:tblPrEx>
          <w:tblCellMar>
            <w:top w:w="0" w:type="dxa"/>
            <w:left w:w="108" w:type="dxa"/>
            <w:bottom w:w="0" w:type="dxa"/>
            <w:right w:w="108" w:type="dxa"/>
          </w:tblCellMar>
        </w:tblPrEx>
        <w:trPr>
          <w:jc w:val="center"/>
        </w:trPr>
        <w:tc>
          <w:tcPr>
            <w:tcW w:w="4223" w:type="dxa"/>
            <w:tcBorders>
              <w:top w:val="single" w:color="auto" w:sz="4" w:space="0"/>
              <w:left w:val="single" w:color="auto" w:sz="4" w:space="0"/>
              <w:bottom w:val="single" w:color="auto" w:sz="4" w:space="0"/>
              <w:right w:val="single" w:color="auto" w:sz="4" w:space="0"/>
            </w:tcBorders>
            <w:vAlign w:val="center"/>
          </w:tcPr>
          <w:p w14:paraId="7FCE14C1">
            <w:pPr>
              <w:spacing w:before="100" w:beforeAutospacing="1" w:after="100" w:afterAutospacing="1" w:line="640" w:lineRule="exact"/>
              <w:ind w:left="15" w:hanging="14" w:hangingChars="7"/>
              <w:jc w:val="center"/>
              <w:rPr>
                <w:rFonts w:ascii="宋体" w:hAnsi="宋体" w:cs="宋体"/>
                <w:szCs w:val="24"/>
              </w:rPr>
            </w:pPr>
            <w:r>
              <w:rPr>
                <w:rFonts w:hint="eastAsia" w:ascii="宋体" w:hAnsi="宋体" w:cs="宋体"/>
                <w:szCs w:val="24"/>
              </w:rPr>
              <w:t>10亿元＜</w:t>
            </w:r>
            <w:r>
              <w:rPr>
                <w:rFonts w:hint="eastAsia" w:ascii="宋体" w:hAnsi="宋体"/>
                <w:szCs w:val="24"/>
              </w:rPr>
              <w:t>招标额</w:t>
            </w:r>
            <w:r>
              <w:rPr>
                <w:rFonts w:hint="eastAsia" w:ascii="宋体" w:hAnsi="宋体" w:cs="宋体"/>
                <w:szCs w:val="24"/>
              </w:rPr>
              <w:t>≤50亿元</w:t>
            </w:r>
          </w:p>
        </w:tc>
        <w:tc>
          <w:tcPr>
            <w:tcW w:w="1419" w:type="dxa"/>
            <w:tcBorders>
              <w:top w:val="single" w:color="auto" w:sz="4" w:space="0"/>
              <w:left w:val="single" w:color="auto" w:sz="4" w:space="0"/>
              <w:bottom w:val="single" w:color="auto" w:sz="4" w:space="0"/>
              <w:right w:val="single" w:color="auto" w:sz="4" w:space="0"/>
            </w:tcBorders>
            <w:vAlign w:val="center"/>
          </w:tcPr>
          <w:p w14:paraId="3E842C6B">
            <w:pPr>
              <w:tabs>
                <w:tab w:val="left" w:pos="7560"/>
                <w:tab w:val="left" w:pos="7740"/>
              </w:tabs>
              <w:spacing w:line="640" w:lineRule="exact"/>
              <w:jc w:val="center"/>
              <w:rPr>
                <w:rFonts w:ascii="宋体" w:hAnsi="宋体"/>
                <w:color w:val="000000"/>
                <w:szCs w:val="24"/>
              </w:rPr>
            </w:pPr>
            <w:r>
              <w:rPr>
                <w:rFonts w:hint="eastAsia" w:ascii="宋体" w:hAnsi="宋体"/>
                <w:color w:val="000000"/>
                <w:szCs w:val="24"/>
              </w:rPr>
              <w:t>0.0008%</w:t>
            </w:r>
          </w:p>
        </w:tc>
        <w:tc>
          <w:tcPr>
            <w:tcW w:w="1512" w:type="dxa"/>
            <w:tcBorders>
              <w:top w:val="single" w:color="auto" w:sz="4" w:space="0"/>
              <w:left w:val="single" w:color="auto" w:sz="4" w:space="0"/>
              <w:bottom w:val="single" w:color="auto" w:sz="4" w:space="0"/>
              <w:right w:val="single" w:color="auto" w:sz="4" w:space="0"/>
            </w:tcBorders>
            <w:vAlign w:val="center"/>
          </w:tcPr>
          <w:p w14:paraId="75178F0A">
            <w:pPr>
              <w:tabs>
                <w:tab w:val="left" w:pos="7560"/>
                <w:tab w:val="left" w:pos="7740"/>
              </w:tabs>
              <w:spacing w:line="640" w:lineRule="exact"/>
              <w:jc w:val="center"/>
              <w:rPr>
                <w:rFonts w:ascii="宋体" w:hAnsi="宋体"/>
                <w:color w:val="000000"/>
                <w:szCs w:val="24"/>
              </w:rPr>
            </w:pPr>
            <w:r>
              <w:rPr>
                <w:rFonts w:hint="eastAsia" w:ascii="宋体" w:hAnsi="宋体"/>
                <w:color w:val="000000"/>
                <w:szCs w:val="24"/>
              </w:rPr>
              <w:t>0.0008%</w:t>
            </w:r>
          </w:p>
        </w:tc>
        <w:tc>
          <w:tcPr>
            <w:tcW w:w="1561" w:type="dxa"/>
            <w:tcBorders>
              <w:top w:val="single" w:color="auto" w:sz="4" w:space="0"/>
              <w:left w:val="single" w:color="auto" w:sz="4" w:space="0"/>
              <w:bottom w:val="single" w:color="auto" w:sz="4" w:space="0"/>
              <w:right w:val="single" w:color="auto" w:sz="4" w:space="0"/>
            </w:tcBorders>
            <w:vAlign w:val="center"/>
          </w:tcPr>
          <w:p w14:paraId="3CD5A866">
            <w:pPr>
              <w:tabs>
                <w:tab w:val="left" w:pos="7560"/>
                <w:tab w:val="left" w:pos="7740"/>
              </w:tabs>
              <w:spacing w:line="640" w:lineRule="exact"/>
              <w:jc w:val="center"/>
              <w:rPr>
                <w:rFonts w:ascii="宋体" w:hAnsi="宋体"/>
                <w:color w:val="000000"/>
                <w:szCs w:val="24"/>
              </w:rPr>
            </w:pPr>
            <w:r>
              <w:rPr>
                <w:rFonts w:hint="eastAsia" w:ascii="宋体" w:hAnsi="宋体"/>
                <w:color w:val="000000"/>
                <w:szCs w:val="24"/>
              </w:rPr>
              <w:t>0.0008%</w:t>
            </w:r>
          </w:p>
        </w:tc>
      </w:tr>
      <w:tr w14:paraId="54D2CA5F">
        <w:tblPrEx>
          <w:tblCellMar>
            <w:top w:w="0" w:type="dxa"/>
            <w:left w:w="108" w:type="dxa"/>
            <w:bottom w:w="0" w:type="dxa"/>
            <w:right w:w="108" w:type="dxa"/>
          </w:tblCellMar>
        </w:tblPrEx>
        <w:trPr>
          <w:jc w:val="center"/>
        </w:trPr>
        <w:tc>
          <w:tcPr>
            <w:tcW w:w="4223" w:type="dxa"/>
            <w:tcBorders>
              <w:top w:val="single" w:color="auto" w:sz="4" w:space="0"/>
              <w:left w:val="single" w:color="auto" w:sz="4" w:space="0"/>
              <w:bottom w:val="single" w:color="auto" w:sz="4" w:space="0"/>
              <w:right w:val="single" w:color="auto" w:sz="4" w:space="0"/>
            </w:tcBorders>
            <w:vAlign w:val="center"/>
          </w:tcPr>
          <w:p w14:paraId="1D7159D1">
            <w:pPr>
              <w:spacing w:before="100" w:beforeAutospacing="1" w:after="100" w:afterAutospacing="1" w:line="640" w:lineRule="exact"/>
              <w:ind w:left="15" w:hanging="14" w:hangingChars="7"/>
              <w:jc w:val="center"/>
              <w:rPr>
                <w:rFonts w:ascii="宋体" w:hAnsi="宋体" w:cs="宋体"/>
                <w:szCs w:val="24"/>
              </w:rPr>
            </w:pPr>
            <w:r>
              <w:rPr>
                <w:rFonts w:hint="eastAsia" w:ascii="宋体" w:hAnsi="宋体" w:cs="宋体"/>
                <w:szCs w:val="24"/>
              </w:rPr>
              <w:t>50亿元＜</w:t>
            </w:r>
            <w:r>
              <w:rPr>
                <w:rFonts w:hint="eastAsia" w:ascii="宋体" w:hAnsi="宋体"/>
                <w:szCs w:val="24"/>
              </w:rPr>
              <w:t>招标额</w:t>
            </w:r>
            <w:r>
              <w:rPr>
                <w:rFonts w:hint="eastAsia" w:ascii="宋体" w:hAnsi="宋体" w:cs="宋体"/>
                <w:szCs w:val="24"/>
              </w:rPr>
              <w:t>≤100亿元</w:t>
            </w:r>
          </w:p>
        </w:tc>
        <w:tc>
          <w:tcPr>
            <w:tcW w:w="1419" w:type="dxa"/>
            <w:tcBorders>
              <w:top w:val="single" w:color="auto" w:sz="4" w:space="0"/>
              <w:left w:val="single" w:color="auto" w:sz="4" w:space="0"/>
              <w:bottom w:val="single" w:color="auto" w:sz="4" w:space="0"/>
              <w:right w:val="single" w:color="auto" w:sz="4" w:space="0"/>
            </w:tcBorders>
            <w:vAlign w:val="center"/>
          </w:tcPr>
          <w:p w14:paraId="027C1889">
            <w:pPr>
              <w:tabs>
                <w:tab w:val="left" w:pos="7560"/>
                <w:tab w:val="left" w:pos="7740"/>
              </w:tabs>
              <w:spacing w:line="640" w:lineRule="exact"/>
              <w:jc w:val="center"/>
              <w:rPr>
                <w:rFonts w:ascii="宋体" w:hAnsi="宋体"/>
                <w:color w:val="000000"/>
                <w:szCs w:val="24"/>
              </w:rPr>
            </w:pPr>
            <w:r>
              <w:rPr>
                <w:rFonts w:hint="eastAsia" w:ascii="宋体" w:hAnsi="宋体"/>
                <w:color w:val="000000"/>
                <w:szCs w:val="24"/>
              </w:rPr>
              <w:t>0.0006%</w:t>
            </w:r>
          </w:p>
        </w:tc>
        <w:tc>
          <w:tcPr>
            <w:tcW w:w="1512" w:type="dxa"/>
            <w:tcBorders>
              <w:top w:val="single" w:color="auto" w:sz="4" w:space="0"/>
              <w:left w:val="single" w:color="auto" w:sz="4" w:space="0"/>
              <w:bottom w:val="single" w:color="auto" w:sz="4" w:space="0"/>
              <w:right w:val="single" w:color="auto" w:sz="4" w:space="0"/>
            </w:tcBorders>
            <w:vAlign w:val="center"/>
          </w:tcPr>
          <w:p w14:paraId="5FBE2923">
            <w:pPr>
              <w:tabs>
                <w:tab w:val="left" w:pos="7560"/>
                <w:tab w:val="left" w:pos="7740"/>
              </w:tabs>
              <w:spacing w:line="640" w:lineRule="exact"/>
              <w:jc w:val="center"/>
              <w:rPr>
                <w:rFonts w:ascii="宋体" w:hAnsi="宋体"/>
                <w:color w:val="000000"/>
                <w:szCs w:val="24"/>
              </w:rPr>
            </w:pPr>
            <w:r>
              <w:rPr>
                <w:rFonts w:hint="eastAsia" w:ascii="宋体" w:hAnsi="宋体"/>
                <w:color w:val="000000"/>
                <w:szCs w:val="24"/>
              </w:rPr>
              <w:t>0.0006%</w:t>
            </w:r>
          </w:p>
        </w:tc>
        <w:tc>
          <w:tcPr>
            <w:tcW w:w="1561" w:type="dxa"/>
            <w:tcBorders>
              <w:top w:val="single" w:color="auto" w:sz="4" w:space="0"/>
              <w:left w:val="single" w:color="auto" w:sz="4" w:space="0"/>
              <w:bottom w:val="single" w:color="auto" w:sz="4" w:space="0"/>
              <w:right w:val="single" w:color="auto" w:sz="4" w:space="0"/>
            </w:tcBorders>
            <w:vAlign w:val="center"/>
          </w:tcPr>
          <w:p w14:paraId="4358D4C1">
            <w:pPr>
              <w:tabs>
                <w:tab w:val="left" w:pos="7560"/>
                <w:tab w:val="left" w:pos="7740"/>
              </w:tabs>
              <w:spacing w:line="640" w:lineRule="exact"/>
              <w:jc w:val="center"/>
              <w:rPr>
                <w:rFonts w:ascii="宋体" w:hAnsi="宋体"/>
                <w:color w:val="000000"/>
                <w:szCs w:val="24"/>
              </w:rPr>
            </w:pPr>
            <w:r>
              <w:rPr>
                <w:rFonts w:hint="eastAsia" w:ascii="宋体" w:hAnsi="宋体"/>
                <w:color w:val="000000"/>
                <w:szCs w:val="24"/>
              </w:rPr>
              <w:t>0.0006%</w:t>
            </w:r>
          </w:p>
        </w:tc>
      </w:tr>
      <w:tr w14:paraId="55DBB4BD">
        <w:tblPrEx>
          <w:tblCellMar>
            <w:top w:w="0" w:type="dxa"/>
            <w:left w:w="108" w:type="dxa"/>
            <w:bottom w:w="0" w:type="dxa"/>
            <w:right w:w="108" w:type="dxa"/>
          </w:tblCellMar>
        </w:tblPrEx>
        <w:trPr>
          <w:jc w:val="center"/>
        </w:trPr>
        <w:tc>
          <w:tcPr>
            <w:tcW w:w="4223" w:type="dxa"/>
            <w:tcBorders>
              <w:top w:val="single" w:color="auto" w:sz="4" w:space="0"/>
              <w:left w:val="single" w:color="auto" w:sz="4" w:space="0"/>
              <w:bottom w:val="single" w:color="auto" w:sz="4" w:space="0"/>
              <w:right w:val="single" w:color="auto" w:sz="4" w:space="0"/>
            </w:tcBorders>
            <w:vAlign w:val="center"/>
          </w:tcPr>
          <w:p w14:paraId="7DD66C0F">
            <w:pPr>
              <w:spacing w:before="100" w:beforeAutospacing="1" w:after="100" w:afterAutospacing="1" w:line="640" w:lineRule="exact"/>
              <w:ind w:left="15" w:hanging="14" w:hangingChars="7"/>
              <w:jc w:val="center"/>
              <w:rPr>
                <w:rFonts w:ascii="宋体" w:hAnsi="宋体" w:cs="宋体"/>
                <w:szCs w:val="24"/>
              </w:rPr>
            </w:pPr>
            <w:r>
              <w:rPr>
                <w:rFonts w:hint="eastAsia" w:ascii="宋体" w:hAnsi="宋体"/>
                <w:szCs w:val="24"/>
              </w:rPr>
              <w:t>招标额&gt;</w:t>
            </w:r>
            <w:r>
              <w:rPr>
                <w:rFonts w:hint="eastAsia" w:ascii="宋体" w:hAnsi="宋体" w:cs="宋体"/>
                <w:szCs w:val="24"/>
              </w:rPr>
              <w:t>100亿元</w:t>
            </w:r>
          </w:p>
        </w:tc>
        <w:tc>
          <w:tcPr>
            <w:tcW w:w="1419" w:type="dxa"/>
            <w:tcBorders>
              <w:top w:val="single" w:color="auto" w:sz="4" w:space="0"/>
              <w:left w:val="single" w:color="auto" w:sz="4" w:space="0"/>
              <w:bottom w:val="single" w:color="auto" w:sz="4" w:space="0"/>
              <w:right w:val="single" w:color="auto" w:sz="4" w:space="0"/>
            </w:tcBorders>
            <w:vAlign w:val="center"/>
          </w:tcPr>
          <w:p w14:paraId="5F078C3F">
            <w:pPr>
              <w:tabs>
                <w:tab w:val="left" w:pos="7560"/>
                <w:tab w:val="left" w:pos="7740"/>
              </w:tabs>
              <w:spacing w:line="640" w:lineRule="exact"/>
              <w:jc w:val="center"/>
              <w:rPr>
                <w:rFonts w:ascii="宋体" w:hAnsi="宋体"/>
                <w:color w:val="000000"/>
                <w:szCs w:val="24"/>
              </w:rPr>
            </w:pPr>
            <w:r>
              <w:rPr>
                <w:rFonts w:hint="eastAsia" w:ascii="宋体" w:hAnsi="宋体"/>
                <w:color w:val="000000"/>
                <w:szCs w:val="24"/>
              </w:rPr>
              <w:t>0.0004%</w:t>
            </w:r>
          </w:p>
        </w:tc>
        <w:tc>
          <w:tcPr>
            <w:tcW w:w="1512" w:type="dxa"/>
            <w:tcBorders>
              <w:top w:val="single" w:color="auto" w:sz="4" w:space="0"/>
              <w:left w:val="single" w:color="auto" w:sz="4" w:space="0"/>
              <w:bottom w:val="single" w:color="auto" w:sz="4" w:space="0"/>
              <w:right w:val="single" w:color="auto" w:sz="4" w:space="0"/>
            </w:tcBorders>
            <w:vAlign w:val="center"/>
          </w:tcPr>
          <w:p w14:paraId="6C4C5F33">
            <w:pPr>
              <w:tabs>
                <w:tab w:val="left" w:pos="7560"/>
                <w:tab w:val="left" w:pos="7740"/>
              </w:tabs>
              <w:spacing w:line="640" w:lineRule="exact"/>
              <w:jc w:val="center"/>
              <w:rPr>
                <w:rFonts w:ascii="宋体" w:hAnsi="宋体"/>
                <w:color w:val="000000"/>
                <w:szCs w:val="24"/>
              </w:rPr>
            </w:pPr>
            <w:r>
              <w:rPr>
                <w:rFonts w:hint="eastAsia" w:ascii="宋体" w:hAnsi="宋体"/>
                <w:color w:val="000000"/>
                <w:szCs w:val="24"/>
              </w:rPr>
              <w:t>0.0004%</w:t>
            </w:r>
          </w:p>
        </w:tc>
        <w:tc>
          <w:tcPr>
            <w:tcW w:w="1561" w:type="dxa"/>
            <w:tcBorders>
              <w:top w:val="single" w:color="auto" w:sz="4" w:space="0"/>
              <w:left w:val="single" w:color="auto" w:sz="4" w:space="0"/>
              <w:bottom w:val="single" w:color="auto" w:sz="4" w:space="0"/>
              <w:right w:val="single" w:color="auto" w:sz="4" w:space="0"/>
            </w:tcBorders>
            <w:vAlign w:val="center"/>
          </w:tcPr>
          <w:p w14:paraId="6C83473A">
            <w:pPr>
              <w:tabs>
                <w:tab w:val="left" w:pos="7560"/>
                <w:tab w:val="left" w:pos="7740"/>
              </w:tabs>
              <w:spacing w:line="640" w:lineRule="exact"/>
              <w:jc w:val="center"/>
              <w:rPr>
                <w:rFonts w:ascii="宋体" w:hAnsi="宋体"/>
                <w:color w:val="000000"/>
                <w:szCs w:val="24"/>
              </w:rPr>
            </w:pPr>
            <w:r>
              <w:rPr>
                <w:rFonts w:hint="eastAsia" w:ascii="宋体" w:hAnsi="宋体"/>
                <w:color w:val="000000"/>
                <w:szCs w:val="24"/>
              </w:rPr>
              <w:t>0.0004%</w:t>
            </w:r>
          </w:p>
        </w:tc>
      </w:tr>
    </w:tbl>
    <w:p w14:paraId="2B732904">
      <w:pPr>
        <w:pStyle w:val="5"/>
        <w:rPr>
          <w:rFonts w:ascii="宋体" w:hAnsi="宋体"/>
          <w:sz w:val="24"/>
          <w:szCs w:val="24"/>
        </w:rPr>
      </w:pPr>
      <w:r>
        <w:rPr>
          <w:rFonts w:hint="eastAsia" w:ascii="宋体" w:hAnsi="宋体"/>
          <w:sz w:val="24"/>
          <w:szCs w:val="24"/>
        </w:rPr>
        <w:t>注：上述招标额为中标（成交）金额。无法确认中标（成交）金额的，招标额为招标项目预算金额。</w:t>
      </w:r>
    </w:p>
    <w:p w14:paraId="4B0492AD">
      <w:pPr>
        <w:pStyle w:val="4"/>
        <w:tabs>
          <w:tab w:val="left" w:pos="0"/>
        </w:tabs>
        <w:ind w:firstLine="480" w:firstLineChars="200"/>
        <w:jc w:val="left"/>
        <w:rPr>
          <w:rFonts w:hAnsi="宋体"/>
          <w:sz w:val="24"/>
          <w:szCs w:val="24"/>
        </w:rPr>
      </w:pPr>
      <w:r>
        <w:rPr>
          <w:rFonts w:hint="eastAsia" w:hAnsi="宋体"/>
          <w:b w:val="0"/>
          <w:bCs w:val="0"/>
          <w:sz w:val="24"/>
          <w:szCs w:val="24"/>
        </w:rPr>
        <w:t>（2）招标额不足100万元的项目：</w:t>
      </w:r>
    </w:p>
    <w:p w14:paraId="3D173644">
      <w:pPr>
        <w:pStyle w:val="4"/>
        <w:tabs>
          <w:tab w:val="left" w:pos="0"/>
        </w:tabs>
        <w:ind w:firstLine="480" w:firstLineChars="200"/>
        <w:jc w:val="left"/>
        <w:rPr>
          <w:rFonts w:hAnsi="宋体"/>
          <w:bCs w:val="0"/>
          <w:sz w:val="24"/>
          <w:szCs w:val="24"/>
          <w:u w:val="single"/>
        </w:rPr>
      </w:pPr>
      <w:r>
        <w:rPr>
          <w:rFonts w:hint="eastAsia" w:hAnsi="宋体"/>
          <w:bCs w:val="0"/>
          <w:sz w:val="24"/>
          <w:szCs w:val="24"/>
        </w:rPr>
        <w:t>对纳入集中采购目录的项目，</w:t>
      </w:r>
      <w:r>
        <w:rPr>
          <w:rFonts w:hint="eastAsia" w:hAnsi="宋体"/>
          <w:sz w:val="24"/>
          <w:szCs w:val="24"/>
        </w:rPr>
        <w:t>以招标额计算公共资源交易服务费，详见下表：</w:t>
      </w:r>
    </w:p>
    <w:tbl>
      <w:tblPr>
        <w:tblStyle w:val="13"/>
        <w:tblW w:w="0" w:type="auto"/>
        <w:tblInd w:w="0" w:type="dxa"/>
        <w:tblLayout w:type="fixed"/>
        <w:tblCellMar>
          <w:top w:w="0" w:type="dxa"/>
          <w:left w:w="108" w:type="dxa"/>
          <w:bottom w:w="0" w:type="dxa"/>
          <w:right w:w="108" w:type="dxa"/>
        </w:tblCellMar>
      </w:tblPr>
      <w:tblGrid>
        <w:gridCol w:w="2945"/>
        <w:gridCol w:w="1277"/>
        <w:gridCol w:w="710"/>
        <w:gridCol w:w="710"/>
        <w:gridCol w:w="1229"/>
        <w:gridCol w:w="283"/>
        <w:gridCol w:w="1561"/>
      </w:tblGrid>
      <w:tr w14:paraId="3D5B1DA4">
        <w:tblPrEx>
          <w:tblCellMar>
            <w:top w:w="0" w:type="dxa"/>
            <w:left w:w="108" w:type="dxa"/>
            <w:bottom w:w="0" w:type="dxa"/>
            <w:right w:w="108" w:type="dxa"/>
          </w:tblCellMar>
        </w:tblPrEx>
        <w:trPr>
          <w:trHeight w:val="463" w:hRule="atLeast"/>
        </w:trPr>
        <w:tc>
          <w:tcPr>
            <w:tcW w:w="4222" w:type="dxa"/>
            <w:gridSpan w:val="2"/>
            <w:tcBorders>
              <w:top w:val="single" w:color="auto" w:sz="4" w:space="0"/>
              <w:left w:val="single" w:color="auto" w:sz="4" w:space="0"/>
              <w:bottom w:val="single" w:color="auto" w:sz="4" w:space="0"/>
              <w:right w:val="single" w:color="auto" w:sz="4" w:space="0"/>
            </w:tcBorders>
            <w:vAlign w:val="center"/>
          </w:tcPr>
          <w:p w14:paraId="12A89C24">
            <w:pPr>
              <w:spacing w:before="100" w:beforeAutospacing="1" w:after="100" w:afterAutospacing="1" w:line="640" w:lineRule="exact"/>
              <w:jc w:val="center"/>
              <w:rPr>
                <w:rFonts w:ascii="宋体" w:hAnsi="宋体" w:cs="宋体"/>
                <w:bCs/>
                <w:szCs w:val="24"/>
              </w:rPr>
            </w:pPr>
            <w:r>
              <w:rPr>
                <w:rFonts w:hint="eastAsia" w:ascii="宋体" w:hAnsi="宋体"/>
                <w:szCs w:val="24"/>
              </w:rPr>
              <w:t>招标额</w:t>
            </w:r>
          </w:p>
        </w:tc>
        <w:tc>
          <w:tcPr>
            <w:tcW w:w="1420" w:type="dxa"/>
            <w:gridSpan w:val="2"/>
            <w:tcBorders>
              <w:top w:val="single" w:color="auto" w:sz="4" w:space="0"/>
              <w:left w:val="single" w:color="auto" w:sz="4" w:space="0"/>
              <w:bottom w:val="single" w:color="auto" w:sz="4" w:space="0"/>
              <w:right w:val="single" w:color="auto" w:sz="4" w:space="0"/>
            </w:tcBorders>
            <w:vAlign w:val="center"/>
          </w:tcPr>
          <w:p w14:paraId="3ED19BE3">
            <w:pPr>
              <w:spacing w:before="100" w:beforeAutospacing="1" w:after="100" w:afterAutospacing="1" w:line="640" w:lineRule="exact"/>
              <w:jc w:val="center"/>
              <w:rPr>
                <w:rFonts w:ascii="宋体" w:hAnsi="宋体" w:cs="宋体"/>
                <w:bCs/>
                <w:szCs w:val="24"/>
              </w:rPr>
            </w:pPr>
            <w:r>
              <w:rPr>
                <w:rFonts w:hint="eastAsia" w:ascii="宋体" w:hAnsi="宋体" w:cs="宋体"/>
                <w:bCs/>
                <w:szCs w:val="24"/>
              </w:rPr>
              <w:t>货物类</w:t>
            </w:r>
          </w:p>
        </w:tc>
        <w:tc>
          <w:tcPr>
            <w:tcW w:w="1512" w:type="dxa"/>
            <w:gridSpan w:val="2"/>
            <w:tcBorders>
              <w:top w:val="single" w:color="auto" w:sz="4" w:space="0"/>
              <w:left w:val="single" w:color="auto" w:sz="4" w:space="0"/>
              <w:bottom w:val="single" w:color="auto" w:sz="4" w:space="0"/>
              <w:right w:val="single" w:color="auto" w:sz="4" w:space="0"/>
            </w:tcBorders>
            <w:vAlign w:val="center"/>
          </w:tcPr>
          <w:p w14:paraId="6A822A4C">
            <w:pPr>
              <w:spacing w:before="100" w:beforeAutospacing="1" w:after="100" w:afterAutospacing="1" w:line="640" w:lineRule="exact"/>
              <w:jc w:val="center"/>
              <w:rPr>
                <w:rFonts w:ascii="宋体" w:hAnsi="宋体" w:cs="宋体"/>
                <w:bCs/>
                <w:szCs w:val="24"/>
              </w:rPr>
            </w:pPr>
            <w:r>
              <w:rPr>
                <w:rFonts w:hint="eastAsia" w:ascii="宋体" w:hAnsi="宋体" w:cs="宋体"/>
                <w:bCs/>
                <w:szCs w:val="24"/>
              </w:rPr>
              <w:t>服务类</w:t>
            </w:r>
          </w:p>
        </w:tc>
        <w:tc>
          <w:tcPr>
            <w:tcW w:w="1561" w:type="dxa"/>
            <w:tcBorders>
              <w:top w:val="single" w:color="auto" w:sz="4" w:space="0"/>
              <w:left w:val="single" w:color="auto" w:sz="4" w:space="0"/>
              <w:bottom w:val="single" w:color="auto" w:sz="4" w:space="0"/>
              <w:right w:val="single" w:color="auto" w:sz="4" w:space="0"/>
            </w:tcBorders>
            <w:vAlign w:val="center"/>
          </w:tcPr>
          <w:p w14:paraId="60A4E5BD">
            <w:pPr>
              <w:spacing w:before="100" w:beforeAutospacing="1" w:after="100" w:afterAutospacing="1" w:line="640" w:lineRule="exact"/>
              <w:jc w:val="center"/>
              <w:rPr>
                <w:rFonts w:ascii="宋体" w:hAnsi="宋体" w:cs="宋体"/>
                <w:bCs/>
                <w:szCs w:val="24"/>
              </w:rPr>
            </w:pPr>
            <w:r>
              <w:rPr>
                <w:rFonts w:hint="eastAsia" w:ascii="宋体" w:hAnsi="宋体" w:cs="宋体"/>
                <w:bCs/>
                <w:szCs w:val="24"/>
              </w:rPr>
              <w:t>工程类</w:t>
            </w:r>
          </w:p>
        </w:tc>
      </w:tr>
      <w:tr w14:paraId="5E2AC07D">
        <w:tblPrEx>
          <w:tblCellMar>
            <w:top w:w="0" w:type="dxa"/>
            <w:left w:w="108" w:type="dxa"/>
            <w:bottom w:w="0" w:type="dxa"/>
            <w:right w:w="108" w:type="dxa"/>
          </w:tblCellMar>
        </w:tblPrEx>
        <w:tc>
          <w:tcPr>
            <w:tcW w:w="4222" w:type="dxa"/>
            <w:gridSpan w:val="2"/>
            <w:tcBorders>
              <w:top w:val="single" w:color="auto" w:sz="4" w:space="0"/>
              <w:left w:val="single" w:color="auto" w:sz="4" w:space="0"/>
              <w:bottom w:val="single" w:color="auto" w:sz="4" w:space="0"/>
              <w:right w:val="single" w:color="auto" w:sz="4" w:space="0"/>
            </w:tcBorders>
            <w:vAlign w:val="center"/>
          </w:tcPr>
          <w:p w14:paraId="56AF9946">
            <w:pPr>
              <w:spacing w:before="100" w:beforeAutospacing="1" w:after="100" w:afterAutospacing="1" w:line="640" w:lineRule="exact"/>
              <w:jc w:val="center"/>
              <w:rPr>
                <w:rFonts w:ascii="宋体" w:hAnsi="宋体" w:cs="宋体"/>
                <w:bCs/>
                <w:szCs w:val="24"/>
              </w:rPr>
            </w:pPr>
            <w:r>
              <w:rPr>
                <w:rFonts w:hint="eastAsia" w:ascii="宋体" w:hAnsi="宋体"/>
                <w:szCs w:val="24"/>
              </w:rPr>
              <w:t>招标额</w:t>
            </w:r>
            <w:r>
              <w:rPr>
                <w:rFonts w:hint="eastAsia" w:ascii="宋体" w:hAnsi="宋体" w:cs="宋体"/>
                <w:bCs/>
                <w:szCs w:val="24"/>
              </w:rPr>
              <w:t>＜100万元</w:t>
            </w:r>
          </w:p>
        </w:tc>
        <w:tc>
          <w:tcPr>
            <w:tcW w:w="1420" w:type="dxa"/>
            <w:gridSpan w:val="2"/>
            <w:tcBorders>
              <w:top w:val="single" w:color="auto" w:sz="4" w:space="0"/>
              <w:left w:val="single" w:color="auto" w:sz="4" w:space="0"/>
              <w:bottom w:val="single" w:color="auto" w:sz="4" w:space="0"/>
              <w:right w:val="single" w:color="auto" w:sz="4" w:space="0"/>
            </w:tcBorders>
            <w:vAlign w:val="center"/>
          </w:tcPr>
          <w:p w14:paraId="5A16CA8A">
            <w:pPr>
              <w:tabs>
                <w:tab w:val="left" w:pos="7560"/>
                <w:tab w:val="left" w:pos="7740"/>
              </w:tabs>
              <w:spacing w:line="640" w:lineRule="exact"/>
              <w:jc w:val="center"/>
              <w:rPr>
                <w:rFonts w:ascii="宋体" w:hAnsi="宋体"/>
                <w:bCs/>
                <w:color w:val="000000"/>
                <w:szCs w:val="24"/>
              </w:rPr>
            </w:pPr>
            <w:r>
              <w:rPr>
                <w:rFonts w:hint="eastAsia" w:ascii="宋体" w:hAnsi="宋体"/>
                <w:bCs/>
                <w:color w:val="000000"/>
                <w:szCs w:val="24"/>
              </w:rPr>
              <w:t>1.5%</w:t>
            </w:r>
          </w:p>
        </w:tc>
        <w:tc>
          <w:tcPr>
            <w:tcW w:w="1512" w:type="dxa"/>
            <w:gridSpan w:val="2"/>
            <w:tcBorders>
              <w:top w:val="single" w:color="auto" w:sz="4" w:space="0"/>
              <w:left w:val="single" w:color="auto" w:sz="4" w:space="0"/>
              <w:bottom w:val="single" w:color="auto" w:sz="4" w:space="0"/>
              <w:right w:val="single" w:color="auto" w:sz="4" w:space="0"/>
            </w:tcBorders>
            <w:vAlign w:val="center"/>
          </w:tcPr>
          <w:p w14:paraId="6D413C55">
            <w:pPr>
              <w:tabs>
                <w:tab w:val="left" w:pos="7560"/>
                <w:tab w:val="left" w:pos="7740"/>
              </w:tabs>
              <w:spacing w:line="640" w:lineRule="exact"/>
              <w:jc w:val="center"/>
              <w:rPr>
                <w:rFonts w:ascii="宋体" w:hAnsi="宋体"/>
                <w:bCs/>
                <w:color w:val="000000"/>
                <w:szCs w:val="24"/>
              </w:rPr>
            </w:pPr>
            <w:r>
              <w:rPr>
                <w:rFonts w:hint="eastAsia" w:ascii="宋体" w:hAnsi="宋体"/>
                <w:bCs/>
                <w:color w:val="000000"/>
                <w:szCs w:val="24"/>
              </w:rPr>
              <w:t>1.5%</w:t>
            </w:r>
          </w:p>
        </w:tc>
        <w:tc>
          <w:tcPr>
            <w:tcW w:w="1561" w:type="dxa"/>
            <w:tcBorders>
              <w:top w:val="single" w:color="auto" w:sz="4" w:space="0"/>
              <w:left w:val="single" w:color="auto" w:sz="4" w:space="0"/>
              <w:bottom w:val="single" w:color="auto" w:sz="4" w:space="0"/>
              <w:right w:val="single" w:color="auto" w:sz="4" w:space="0"/>
            </w:tcBorders>
            <w:vAlign w:val="center"/>
          </w:tcPr>
          <w:p w14:paraId="0979F6AB">
            <w:pPr>
              <w:tabs>
                <w:tab w:val="left" w:pos="7560"/>
                <w:tab w:val="left" w:pos="7740"/>
              </w:tabs>
              <w:spacing w:line="640" w:lineRule="exact"/>
              <w:jc w:val="center"/>
              <w:rPr>
                <w:rFonts w:ascii="宋体" w:hAnsi="宋体"/>
                <w:bCs/>
                <w:color w:val="000000"/>
                <w:szCs w:val="24"/>
              </w:rPr>
            </w:pPr>
            <w:r>
              <w:rPr>
                <w:rFonts w:hint="eastAsia" w:ascii="宋体" w:hAnsi="宋体"/>
                <w:bCs/>
                <w:color w:val="000000"/>
                <w:szCs w:val="24"/>
              </w:rPr>
              <w:t>1.0%</w:t>
            </w:r>
          </w:p>
        </w:tc>
      </w:tr>
      <w:tr w14:paraId="1718D7B3">
        <w:tblPrEx>
          <w:tblCellMar>
            <w:top w:w="0" w:type="dxa"/>
            <w:left w:w="108" w:type="dxa"/>
            <w:bottom w:w="0" w:type="dxa"/>
            <w:right w:w="108" w:type="dxa"/>
          </w:tblCellMar>
        </w:tblPrEx>
        <w:tc>
          <w:tcPr>
            <w:tcW w:w="8715" w:type="dxa"/>
            <w:gridSpan w:val="7"/>
            <w:tcBorders>
              <w:top w:val="single" w:color="auto" w:sz="4" w:space="0"/>
              <w:left w:val="nil"/>
              <w:bottom w:val="single" w:color="auto" w:sz="4" w:space="0"/>
              <w:right w:val="nil"/>
            </w:tcBorders>
            <w:vAlign w:val="center"/>
          </w:tcPr>
          <w:p w14:paraId="3D00D3C9">
            <w:pPr>
              <w:tabs>
                <w:tab w:val="left" w:pos="7560"/>
                <w:tab w:val="left" w:pos="7740"/>
              </w:tabs>
              <w:spacing w:line="640" w:lineRule="exact"/>
              <w:ind w:firstLine="420" w:firstLineChars="200"/>
              <w:rPr>
                <w:rFonts w:ascii="宋体" w:hAnsi="宋体"/>
                <w:bCs/>
                <w:color w:val="000000"/>
                <w:szCs w:val="24"/>
              </w:rPr>
            </w:pPr>
            <w:r>
              <w:rPr>
                <w:rFonts w:hint="eastAsia" w:ascii="宋体" w:hAnsi="宋体"/>
                <w:bCs/>
                <w:szCs w:val="24"/>
              </w:rPr>
              <w:t>对集中采购目录以外的项目：</w:t>
            </w:r>
            <w:r>
              <w:rPr>
                <w:rFonts w:hint="eastAsia" w:hAnsi="宋体"/>
                <w:szCs w:val="24"/>
              </w:rPr>
              <w:t>公共资源交易服务费收费见下表：</w:t>
            </w:r>
          </w:p>
        </w:tc>
      </w:tr>
      <w:tr w14:paraId="2E20D916">
        <w:tblPrEx>
          <w:tblCellMar>
            <w:top w:w="0" w:type="dxa"/>
            <w:left w:w="108" w:type="dxa"/>
            <w:bottom w:w="0" w:type="dxa"/>
            <w:right w:w="108" w:type="dxa"/>
          </w:tblCellMar>
        </w:tblPrEx>
        <w:tc>
          <w:tcPr>
            <w:tcW w:w="2945" w:type="dxa"/>
            <w:tcBorders>
              <w:top w:val="single" w:color="auto" w:sz="4" w:space="0"/>
              <w:left w:val="single" w:color="auto" w:sz="4" w:space="0"/>
              <w:bottom w:val="single" w:color="auto" w:sz="4" w:space="0"/>
              <w:right w:val="single" w:color="auto" w:sz="4" w:space="0"/>
            </w:tcBorders>
            <w:vAlign w:val="center"/>
          </w:tcPr>
          <w:p w14:paraId="6D9D3948">
            <w:pPr>
              <w:spacing w:before="100" w:beforeAutospacing="1" w:after="100" w:afterAutospacing="1" w:line="640" w:lineRule="exact"/>
              <w:jc w:val="center"/>
              <w:rPr>
                <w:rFonts w:ascii="宋体" w:hAnsi="宋体" w:cs="宋体"/>
                <w:bCs/>
                <w:szCs w:val="24"/>
              </w:rPr>
            </w:pPr>
            <w:r>
              <w:rPr>
                <w:rFonts w:hint="eastAsia" w:ascii="宋体" w:hAnsi="宋体"/>
                <w:szCs w:val="24"/>
              </w:rPr>
              <w:t>招标额</w:t>
            </w:r>
          </w:p>
        </w:tc>
        <w:tc>
          <w:tcPr>
            <w:tcW w:w="1987" w:type="dxa"/>
            <w:gridSpan w:val="2"/>
            <w:tcBorders>
              <w:top w:val="single" w:color="auto" w:sz="4" w:space="0"/>
              <w:left w:val="single" w:color="auto" w:sz="4" w:space="0"/>
              <w:bottom w:val="single" w:color="auto" w:sz="4" w:space="0"/>
              <w:right w:val="single" w:color="auto" w:sz="4" w:space="0"/>
            </w:tcBorders>
            <w:vAlign w:val="center"/>
          </w:tcPr>
          <w:p w14:paraId="33B96400">
            <w:pPr>
              <w:spacing w:before="100" w:beforeAutospacing="1" w:after="100" w:afterAutospacing="1" w:line="640" w:lineRule="exact"/>
              <w:jc w:val="center"/>
              <w:rPr>
                <w:rFonts w:ascii="宋体" w:hAnsi="宋体" w:cs="宋体"/>
                <w:bCs/>
                <w:szCs w:val="24"/>
              </w:rPr>
            </w:pPr>
            <w:r>
              <w:rPr>
                <w:rFonts w:hint="eastAsia" w:ascii="宋体" w:hAnsi="宋体" w:cs="宋体"/>
                <w:bCs/>
                <w:szCs w:val="24"/>
              </w:rPr>
              <w:t>货物类</w:t>
            </w:r>
          </w:p>
        </w:tc>
        <w:tc>
          <w:tcPr>
            <w:tcW w:w="1939" w:type="dxa"/>
            <w:gridSpan w:val="2"/>
            <w:tcBorders>
              <w:top w:val="single" w:color="auto" w:sz="4" w:space="0"/>
              <w:left w:val="single" w:color="auto" w:sz="4" w:space="0"/>
              <w:bottom w:val="single" w:color="auto" w:sz="4" w:space="0"/>
              <w:right w:val="single" w:color="auto" w:sz="4" w:space="0"/>
            </w:tcBorders>
            <w:vAlign w:val="center"/>
          </w:tcPr>
          <w:p w14:paraId="12F3A2FD">
            <w:pPr>
              <w:spacing w:before="100" w:beforeAutospacing="1" w:after="100" w:afterAutospacing="1" w:line="640" w:lineRule="exact"/>
              <w:jc w:val="center"/>
              <w:rPr>
                <w:rFonts w:ascii="宋体" w:hAnsi="宋体" w:cs="宋体"/>
                <w:bCs/>
                <w:szCs w:val="24"/>
              </w:rPr>
            </w:pPr>
            <w:r>
              <w:rPr>
                <w:rFonts w:hint="eastAsia" w:ascii="宋体" w:hAnsi="宋体" w:cs="宋体"/>
                <w:bCs/>
                <w:szCs w:val="24"/>
              </w:rPr>
              <w:t>服务类</w:t>
            </w:r>
          </w:p>
        </w:tc>
        <w:tc>
          <w:tcPr>
            <w:tcW w:w="1844" w:type="dxa"/>
            <w:gridSpan w:val="2"/>
            <w:tcBorders>
              <w:top w:val="single" w:color="auto" w:sz="4" w:space="0"/>
              <w:left w:val="single" w:color="auto" w:sz="4" w:space="0"/>
              <w:bottom w:val="single" w:color="auto" w:sz="4" w:space="0"/>
              <w:right w:val="single" w:color="auto" w:sz="4" w:space="0"/>
            </w:tcBorders>
            <w:vAlign w:val="center"/>
          </w:tcPr>
          <w:p w14:paraId="59F0DE18">
            <w:pPr>
              <w:spacing w:before="100" w:beforeAutospacing="1" w:after="100" w:afterAutospacing="1" w:line="640" w:lineRule="exact"/>
              <w:jc w:val="center"/>
              <w:rPr>
                <w:rFonts w:ascii="宋体" w:hAnsi="宋体" w:cs="宋体"/>
                <w:bCs/>
                <w:szCs w:val="24"/>
              </w:rPr>
            </w:pPr>
            <w:r>
              <w:rPr>
                <w:rFonts w:hint="eastAsia" w:ascii="宋体" w:hAnsi="宋体" w:cs="宋体"/>
                <w:bCs/>
                <w:szCs w:val="24"/>
              </w:rPr>
              <w:t>工程类</w:t>
            </w:r>
          </w:p>
        </w:tc>
      </w:tr>
      <w:tr w14:paraId="3C3448C4">
        <w:tblPrEx>
          <w:tblCellMar>
            <w:top w:w="0" w:type="dxa"/>
            <w:left w:w="108" w:type="dxa"/>
            <w:bottom w:w="0" w:type="dxa"/>
            <w:right w:w="108" w:type="dxa"/>
          </w:tblCellMar>
        </w:tblPrEx>
        <w:tc>
          <w:tcPr>
            <w:tcW w:w="2945" w:type="dxa"/>
            <w:tcBorders>
              <w:top w:val="single" w:color="auto" w:sz="4" w:space="0"/>
              <w:left w:val="single" w:color="auto" w:sz="4" w:space="0"/>
              <w:bottom w:val="single" w:color="auto" w:sz="4" w:space="0"/>
              <w:right w:val="single" w:color="auto" w:sz="4" w:space="0"/>
            </w:tcBorders>
            <w:vAlign w:val="center"/>
          </w:tcPr>
          <w:p w14:paraId="11021DE9">
            <w:pPr>
              <w:spacing w:before="100" w:beforeAutospacing="1" w:after="100" w:afterAutospacing="1" w:line="640" w:lineRule="exact"/>
              <w:jc w:val="center"/>
              <w:rPr>
                <w:rFonts w:ascii="宋体" w:hAnsi="宋体" w:cs="宋体"/>
                <w:bCs/>
                <w:szCs w:val="24"/>
              </w:rPr>
            </w:pPr>
            <w:r>
              <w:rPr>
                <w:rFonts w:hint="eastAsia" w:ascii="宋体" w:hAnsi="宋体"/>
                <w:szCs w:val="24"/>
              </w:rPr>
              <w:t>招标额</w:t>
            </w:r>
            <w:r>
              <w:rPr>
                <w:rFonts w:hint="eastAsia" w:ascii="宋体" w:hAnsi="宋体" w:cs="宋体"/>
                <w:bCs/>
                <w:szCs w:val="24"/>
              </w:rPr>
              <w:t>＜100万元</w:t>
            </w:r>
          </w:p>
        </w:tc>
        <w:tc>
          <w:tcPr>
            <w:tcW w:w="1987" w:type="dxa"/>
            <w:gridSpan w:val="2"/>
            <w:tcBorders>
              <w:top w:val="single" w:color="auto" w:sz="4" w:space="0"/>
              <w:left w:val="single" w:color="auto" w:sz="4" w:space="0"/>
              <w:bottom w:val="single" w:color="auto" w:sz="4" w:space="0"/>
              <w:right w:val="single" w:color="auto" w:sz="4" w:space="0"/>
            </w:tcBorders>
            <w:vAlign w:val="center"/>
          </w:tcPr>
          <w:p w14:paraId="47C981C4">
            <w:pPr>
              <w:tabs>
                <w:tab w:val="left" w:pos="7560"/>
                <w:tab w:val="left" w:pos="7740"/>
              </w:tabs>
              <w:spacing w:line="640" w:lineRule="exact"/>
              <w:jc w:val="center"/>
              <w:rPr>
                <w:rFonts w:ascii="宋体" w:hAnsi="宋体"/>
                <w:bCs/>
                <w:color w:val="000000"/>
                <w:szCs w:val="24"/>
              </w:rPr>
            </w:pPr>
            <w:r>
              <w:rPr>
                <w:rFonts w:hint="eastAsia" w:ascii="宋体" w:hAnsi="宋体"/>
                <w:bCs/>
                <w:color w:val="000000"/>
                <w:szCs w:val="24"/>
              </w:rPr>
              <w:t>1.5万元/宗</w:t>
            </w:r>
          </w:p>
        </w:tc>
        <w:tc>
          <w:tcPr>
            <w:tcW w:w="1939" w:type="dxa"/>
            <w:gridSpan w:val="2"/>
            <w:tcBorders>
              <w:top w:val="single" w:color="auto" w:sz="4" w:space="0"/>
              <w:left w:val="single" w:color="auto" w:sz="4" w:space="0"/>
              <w:bottom w:val="single" w:color="auto" w:sz="4" w:space="0"/>
              <w:right w:val="single" w:color="auto" w:sz="4" w:space="0"/>
            </w:tcBorders>
            <w:vAlign w:val="center"/>
          </w:tcPr>
          <w:p w14:paraId="4D9C5BB9">
            <w:pPr>
              <w:tabs>
                <w:tab w:val="left" w:pos="7560"/>
                <w:tab w:val="left" w:pos="7740"/>
              </w:tabs>
              <w:spacing w:line="640" w:lineRule="exact"/>
              <w:jc w:val="center"/>
              <w:rPr>
                <w:rFonts w:ascii="宋体" w:hAnsi="宋体"/>
                <w:bCs/>
                <w:color w:val="000000"/>
                <w:szCs w:val="24"/>
              </w:rPr>
            </w:pPr>
            <w:r>
              <w:rPr>
                <w:rFonts w:hint="eastAsia" w:ascii="宋体" w:hAnsi="宋体"/>
                <w:bCs/>
                <w:color w:val="000000"/>
                <w:szCs w:val="24"/>
              </w:rPr>
              <w:t>1.5万元/宗</w:t>
            </w:r>
          </w:p>
        </w:tc>
        <w:tc>
          <w:tcPr>
            <w:tcW w:w="1844" w:type="dxa"/>
            <w:gridSpan w:val="2"/>
            <w:tcBorders>
              <w:top w:val="single" w:color="auto" w:sz="4" w:space="0"/>
              <w:left w:val="single" w:color="auto" w:sz="4" w:space="0"/>
              <w:bottom w:val="single" w:color="auto" w:sz="4" w:space="0"/>
              <w:right w:val="single" w:color="auto" w:sz="4" w:space="0"/>
            </w:tcBorders>
            <w:vAlign w:val="center"/>
          </w:tcPr>
          <w:p w14:paraId="5F753386">
            <w:pPr>
              <w:tabs>
                <w:tab w:val="left" w:pos="7560"/>
                <w:tab w:val="left" w:pos="7740"/>
              </w:tabs>
              <w:spacing w:line="640" w:lineRule="exact"/>
              <w:jc w:val="center"/>
              <w:rPr>
                <w:rFonts w:ascii="宋体" w:hAnsi="宋体"/>
                <w:bCs/>
                <w:color w:val="000000"/>
                <w:szCs w:val="24"/>
              </w:rPr>
            </w:pPr>
            <w:r>
              <w:rPr>
                <w:rFonts w:hint="eastAsia" w:ascii="宋体" w:hAnsi="宋体"/>
                <w:bCs/>
                <w:color w:val="000000"/>
                <w:szCs w:val="24"/>
              </w:rPr>
              <w:t>1万元/宗</w:t>
            </w:r>
          </w:p>
        </w:tc>
      </w:tr>
    </w:tbl>
    <w:p w14:paraId="27818326">
      <w:pPr>
        <w:pStyle w:val="5"/>
        <w:rPr>
          <w:rFonts w:ascii="宋体" w:hAnsi="宋体"/>
          <w:sz w:val="24"/>
          <w:szCs w:val="24"/>
        </w:rPr>
      </w:pPr>
      <w:r>
        <w:rPr>
          <w:rFonts w:hint="eastAsia" w:ascii="宋体" w:hAnsi="宋体"/>
          <w:sz w:val="24"/>
          <w:szCs w:val="24"/>
        </w:rPr>
        <w:t>注：上述招标额为中标（成交）金额。无法确认中标（成交）金额的，招标额为招标项目预算金额。</w:t>
      </w:r>
    </w:p>
    <w:p w14:paraId="5923E712">
      <w:pPr>
        <w:pStyle w:val="5"/>
      </w:pPr>
    </w:p>
    <w:p w14:paraId="33983B80">
      <w:pPr>
        <w:pStyle w:val="4"/>
        <w:tabs>
          <w:tab w:val="left" w:pos="0"/>
        </w:tabs>
        <w:ind w:left="420"/>
        <w:jc w:val="left"/>
        <w:rPr>
          <w:rFonts w:hAnsi="宋体"/>
          <w:sz w:val="24"/>
          <w:szCs w:val="24"/>
        </w:rPr>
      </w:pPr>
      <w:r>
        <w:rPr>
          <w:rFonts w:hint="eastAsia" w:hAnsi="宋体"/>
          <w:sz w:val="24"/>
          <w:szCs w:val="24"/>
        </w:rPr>
        <w:t>4.公共资源交易服务费支付方式</w:t>
      </w:r>
    </w:p>
    <w:p w14:paraId="6A0D04CD">
      <w:pPr>
        <w:spacing w:line="360" w:lineRule="auto"/>
        <w:ind w:firstLine="420" w:firstLineChars="200"/>
        <w:rPr>
          <w:rFonts w:hAnsi="宋体"/>
          <w:szCs w:val="24"/>
        </w:rPr>
      </w:pPr>
      <w:bookmarkStart w:id="10" w:name="EB840f295ee5374c53801a6fa1996a7367"/>
      <w:r>
        <w:rPr>
          <w:rFonts w:hint="eastAsia" w:hAnsi="宋体"/>
          <w:szCs w:val="24"/>
        </w:rPr>
        <w:t>成交供应商凭CA数字证书登录市政府采购中心政府采购交易系统查询支付金额，并选用以下三种方式支付公共资源交易服务费：</w:t>
      </w:r>
      <w:bookmarkEnd w:id="10"/>
    </w:p>
    <w:p w14:paraId="0CF37777">
      <w:pPr>
        <w:spacing w:line="360" w:lineRule="auto"/>
        <w:ind w:firstLine="420" w:firstLineChars="200"/>
        <w:rPr>
          <w:rFonts w:hAnsi="宋体"/>
          <w:szCs w:val="24"/>
        </w:rPr>
      </w:pPr>
      <w:r>
        <w:rPr>
          <w:rFonts w:hint="eastAsia" w:hAnsi="宋体"/>
          <w:szCs w:val="24"/>
        </w:rPr>
        <w:t>（1）网上支付（推荐方式）：</w:t>
      </w:r>
    </w:p>
    <w:p w14:paraId="0688341F">
      <w:pPr>
        <w:spacing w:line="360" w:lineRule="auto"/>
        <w:ind w:firstLine="420" w:firstLineChars="200"/>
        <w:rPr>
          <w:rFonts w:hAnsi="宋体"/>
          <w:szCs w:val="24"/>
        </w:rPr>
      </w:pPr>
      <w:bookmarkStart w:id="11" w:name="EB70d7134089a446168d9fb84c360ebfd8"/>
      <w:r>
        <w:rPr>
          <w:rFonts w:hint="eastAsia" w:hAnsi="宋体"/>
          <w:szCs w:val="24"/>
        </w:rPr>
        <w:t>成交供应商登录市政府采购中心政府采购交易系统，选定“我是投标人（供应商）”-“公共资源交易服务费支付”，选定支付项目，使用已具备网上支付功能的个人银行卡或已开通网上支付功能的公司账户进行网上支付。</w:t>
      </w:r>
      <w:bookmarkEnd w:id="11"/>
    </w:p>
    <w:p w14:paraId="63C4B7A7">
      <w:pPr>
        <w:spacing w:line="360" w:lineRule="auto"/>
        <w:ind w:firstLine="420" w:firstLineChars="200"/>
        <w:rPr>
          <w:rFonts w:hAnsi="宋体"/>
          <w:szCs w:val="24"/>
        </w:rPr>
      </w:pPr>
      <w:r>
        <w:rPr>
          <w:rFonts w:hint="eastAsia" w:hAnsi="宋体"/>
          <w:szCs w:val="24"/>
        </w:rPr>
        <w:t>（2）现场支付：</w:t>
      </w:r>
      <w:bookmarkStart w:id="12" w:name="EBe30599fd3e444cc5b1a8e49993df51d1"/>
      <w:r>
        <w:rPr>
          <w:rFonts w:hint="eastAsia" w:hAnsi="宋体"/>
          <w:szCs w:val="24"/>
        </w:rPr>
        <w:t>中标人携现金前往市政府采购中心大厅西侧建设银行天润路支行交款，交款后前往财务专窗办理支付确认。</w:t>
      </w:r>
      <w:bookmarkEnd w:id="12"/>
    </w:p>
    <w:p w14:paraId="382C3137">
      <w:pPr>
        <w:spacing w:line="360" w:lineRule="auto"/>
        <w:ind w:firstLine="420" w:firstLineChars="200"/>
        <w:rPr>
          <w:rFonts w:hAnsi="宋体"/>
          <w:szCs w:val="24"/>
        </w:rPr>
      </w:pPr>
      <w:r>
        <w:rPr>
          <w:rFonts w:hint="eastAsia" w:hAnsi="宋体"/>
          <w:szCs w:val="24"/>
        </w:rPr>
        <w:t>（3）汇款支付：</w:t>
      </w:r>
      <w:bookmarkStart w:id="13" w:name="EB477028646e63415095bef370d04b8427"/>
      <w:r>
        <w:rPr>
          <w:rFonts w:hint="eastAsia" w:hAnsi="宋体"/>
          <w:szCs w:val="24"/>
        </w:rPr>
        <w:t>中标人</w:t>
      </w:r>
      <w:bookmarkEnd w:id="13"/>
      <w:r>
        <w:rPr>
          <w:rFonts w:hint="eastAsia" w:hAnsi="宋体"/>
          <w:szCs w:val="24"/>
        </w:rPr>
        <w:t>将公共资源交易服务费转账（汇款）至公共资源交易服务费结算账户（如下所示）后，到账后凭转账（汇款）凭证前往市政府采购中心大厅西侧建设银行天润路支行财务专窗办理支付确认或使用公共资源交易服务费转账凭证上传确认系统进行支付确认。</w:t>
      </w:r>
    </w:p>
    <w:p w14:paraId="014E0A66">
      <w:pPr>
        <w:spacing w:line="360" w:lineRule="auto"/>
        <w:ind w:firstLine="420" w:firstLineChars="200"/>
        <w:rPr>
          <w:rFonts w:hAnsi="宋体"/>
          <w:szCs w:val="24"/>
        </w:rPr>
      </w:pPr>
      <w:r>
        <w:rPr>
          <w:rFonts w:hint="eastAsia" w:hAnsi="宋体"/>
          <w:szCs w:val="24"/>
        </w:rPr>
        <w:t>公共资源交易服务费结算账户信息：</w:t>
      </w:r>
    </w:p>
    <w:p w14:paraId="617A408F">
      <w:pPr>
        <w:spacing w:line="360" w:lineRule="auto"/>
        <w:ind w:firstLine="420" w:firstLineChars="200"/>
        <w:rPr>
          <w:rFonts w:hAnsi="宋体"/>
          <w:szCs w:val="24"/>
        </w:rPr>
      </w:pPr>
      <w:r>
        <w:rPr>
          <w:rFonts w:hint="eastAsia" w:hAnsi="宋体"/>
          <w:szCs w:val="24"/>
        </w:rPr>
        <w:t>收款单位：广州市政府采购中心</w:t>
      </w:r>
    </w:p>
    <w:p w14:paraId="01F889FA">
      <w:pPr>
        <w:spacing w:line="360" w:lineRule="auto"/>
        <w:ind w:firstLine="420" w:firstLineChars="200"/>
        <w:rPr>
          <w:rFonts w:hAnsi="宋体"/>
          <w:szCs w:val="24"/>
        </w:rPr>
      </w:pPr>
      <w:r>
        <w:rPr>
          <w:rFonts w:hint="eastAsia" w:hAnsi="宋体"/>
          <w:szCs w:val="24"/>
        </w:rPr>
        <w:t>开户银行：中国建设银行广州天润路支行</w:t>
      </w:r>
    </w:p>
    <w:p w14:paraId="71487A7A">
      <w:pPr>
        <w:spacing w:line="360" w:lineRule="auto"/>
        <w:ind w:firstLine="420" w:firstLineChars="200"/>
        <w:rPr>
          <w:rFonts w:hAnsi="宋体"/>
          <w:szCs w:val="24"/>
        </w:rPr>
      </w:pPr>
      <w:r>
        <w:rPr>
          <w:rFonts w:hint="eastAsia" w:hAnsi="宋体"/>
          <w:szCs w:val="24"/>
        </w:rPr>
        <w:t>账号：44050158340409202288</w:t>
      </w:r>
    </w:p>
    <w:p w14:paraId="1877D4C6">
      <w:pPr>
        <w:spacing w:line="360" w:lineRule="auto"/>
        <w:ind w:firstLine="420" w:firstLineChars="200"/>
        <w:rPr>
          <w:rFonts w:hAnsi="宋体"/>
          <w:szCs w:val="24"/>
        </w:rPr>
      </w:pPr>
    </w:p>
    <w:p w14:paraId="2F11CB38">
      <w:pPr>
        <w:pStyle w:val="11"/>
      </w:pPr>
      <w:r>
        <w:rPr>
          <w:rFonts w:hint="eastAsia"/>
        </w:rPr>
        <w:t>注：公共资源交易服务费增值税电子普通发票在项目结果公告发布之日开具，并向中标人的经办人手机号推送。中标人可凭上述经办人手机号在发票通网站“www.fapiao.com” 的Plus用户登录下载电子发票用于报账。使用汇款支付过程中，请在摘要或用途中注明项目编号交易服务费，例如：CZ2022-0001交易服务费。当交易服务费到账的银行回单中单位名称、应缴交易服务费金额、中标项目编号三项信息匹配都一致时，系统会自动进行支付确认</w:t>
      </w:r>
      <w:r>
        <w:rPr>
          <w:rFonts w:hint="eastAsia"/>
        </w:rPr>
        <w:br w:type="textWrapping"/>
      </w:r>
      <w:r>
        <w:rPr>
          <w:rFonts w:hint="eastAsia"/>
        </w:rPr>
        <w:br w:type="textWrapping"/>
      </w:r>
      <w:r>
        <w:rPr>
          <w:rFonts w:hint="eastAsia"/>
        </w:rPr>
        <w:t>   注：项目采购额为成交金额</w:t>
      </w:r>
    </w:p>
    <w:p w14:paraId="61CA9CA4">
      <w:pPr>
        <w:pStyle w:val="11"/>
        <w:spacing w:after="150" w:line="360" w:lineRule="atLeast"/>
        <w:ind w:firstLine="480"/>
      </w:pPr>
      <w:r>
        <w:rPr>
          <w:rStyle w:val="16"/>
          <w:rFonts w:hint="eastAsia"/>
        </w:rPr>
        <w:t>三、磋商文件的澄清修改</w:t>
      </w:r>
    </w:p>
    <w:p w14:paraId="7E213922">
      <w:pPr>
        <w:pStyle w:val="11"/>
        <w:spacing w:after="150" w:line="360" w:lineRule="atLeast"/>
        <w:ind w:firstLine="480"/>
      </w:pPr>
      <w:r>
        <w:rPr>
          <w:rFonts w:hint="eastAsia"/>
        </w:rPr>
        <w:t>（一）提交首次响应文件截止之日前，采购中心可对磋商文件进行必要的澄清或者修改，并在提交首次响应文件截止之日5日前，在采购信息发布网站上发布更正公告，不足5日的，顺延提交首次响应文件截止时间。</w:t>
      </w:r>
    </w:p>
    <w:p w14:paraId="5A4B0D26">
      <w:pPr>
        <w:pStyle w:val="11"/>
        <w:spacing w:after="150" w:line="360" w:lineRule="atLeast"/>
        <w:ind w:firstLine="480"/>
      </w:pPr>
      <w:r>
        <w:rPr>
          <w:rFonts w:hint="eastAsia"/>
        </w:rPr>
        <w:t>（二）更正公告为磋商文件的组成部分，一经在采购中心网站发布，系统将自动通过电子邮件方式发送给已在采购中心网站会员专区进行项目响应登记的供应商，视同已通知所有磋商文件的收受人。</w:t>
      </w:r>
    </w:p>
    <w:p w14:paraId="22707633">
      <w:pPr>
        <w:pStyle w:val="11"/>
        <w:spacing w:after="150" w:line="360" w:lineRule="atLeast"/>
        <w:ind w:firstLine="480"/>
      </w:pPr>
      <w:r>
        <w:rPr>
          <w:rFonts w:hint="eastAsia"/>
        </w:rPr>
        <w:t>（三）如更正公告有重新发布电子磋商文件的，供应商应下载最新发布的电子磋商文件制作响应文件。</w:t>
      </w:r>
    </w:p>
    <w:p w14:paraId="552A007B">
      <w:pPr>
        <w:pStyle w:val="11"/>
        <w:spacing w:after="150" w:line="360" w:lineRule="atLeast"/>
        <w:ind w:firstLine="480"/>
      </w:pPr>
      <w:r>
        <w:rPr>
          <w:rFonts w:hint="eastAsia"/>
        </w:rPr>
        <w:t>（四）供应商在规定的时间内未对磋商文件提出疑问、质疑或要求澄清的，将视其为无异议。对磋商文件中描述有歧义或前后不一致的地方，磋商小组有权进行评判，但对同一条款的评判应适用于每个供应商。</w:t>
      </w:r>
      <w:r>
        <w:rPr>
          <w:rFonts w:hint="eastAsia"/>
        </w:rPr>
        <w:br w:type="textWrapping"/>
      </w:r>
      <w:r>
        <w:rPr>
          <w:rStyle w:val="16"/>
          <w:rFonts w:hint="eastAsia"/>
        </w:rPr>
        <w:t>  四、关于联合体报价、关联企业</w:t>
      </w:r>
      <w:r>
        <w:rPr>
          <w:rFonts w:hint="eastAsia"/>
          <w:b/>
          <w:bCs/>
        </w:rPr>
        <w:br w:type="textWrapping"/>
      </w:r>
      <w:r>
        <w:rPr>
          <w:rFonts w:hint="eastAsia"/>
        </w:rPr>
        <w:t>  </w:t>
      </w:r>
    </w:p>
    <w:p w14:paraId="7884FE8F">
      <w:pPr>
        <w:pStyle w:val="11"/>
        <w:spacing w:line="480" w:lineRule="auto"/>
        <w:ind w:firstLine="480"/>
      </w:pPr>
      <w:r>
        <w:rPr>
          <w:rFonts w:hint="eastAsia"/>
          <w:shd w:val="clear" w:color="auto" w:fill="FFFFFF"/>
        </w:rPr>
        <w:t>本项目不接受联合体报价。</w:t>
      </w:r>
      <w:r>
        <w:rPr>
          <w:rFonts w:hint="eastAsia"/>
        </w:rPr>
        <w:t xml:space="preserve"> </w:t>
      </w:r>
    </w:p>
    <w:p w14:paraId="4A7A3B56">
      <w:pPr>
        <w:pStyle w:val="11"/>
        <w:spacing w:line="480" w:lineRule="auto"/>
        <w:ind w:firstLine="480"/>
      </w:pPr>
      <w:r>
        <w:rPr>
          <w:rFonts w:hint="eastAsia"/>
          <w:shd w:val="clear" w:color="auto" w:fill="FFFFFF"/>
        </w:rPr>
        <w:t>关于关联企业：法定代表人或单位负责人为同一个人或者存在直接控股、管理关系的不同供应商，不得同时参加同一项目或同一子项目的投标。如同时参加，则评审时将同时被拒绝。</w:t>
      </w:r>
      <w:r>
        <w:rPr>
          <w:rFonts w:hint="eastAsia"/>
        </w:rPr>
        <w:t xml:space="preserve"> </w:t>
      </w:r>
    </w:p>
    <w:p w14:paraId="3AB97B18">
      <w:r>
        <w:rPr>
          <w:rFonts w:hint="eastAsia"/>
        </w:rPr>
        <w:br w:type="textWrapping"/>
      </w:r>
      <w:r>
        <w:rPr>
          <w:rStyle w:val="16"/>
          <w:rFonts w:hint="eastAsia"/>
        </w:rPr>
        <w:t>  五、关于分支机构报价</w:t>
      </w:r>
      <w:r>
        <w:rPr>
          <w:rFonts w:hint="eastAsia"/>
          <w:b/>
          <w:bCs/>
        </w:rPr>
        <w:br w:type="textWrapping"/>
      </w:r>
      <w:r>
        <w:rPr>
          <w:rFonts w:hint="eastAsia"/>
        </w:rPr>
        <w:t>  </w:t>
      </w:r>
    </w:p>
    <w:p w14:paraId="33ACDDB7">
      <w:pPr>
        <w:pStyle w:val="11"/>
        <w:spacing w:line="480" w:lineRule="auto"/>
        <w:ind w:firstLine="480"/>
      </w:pPr>
      <w:r>
        <w:rPr>
          <w:rFonts w:hint="eastAsia"/>
          <w:shd w:val="clear" w:color="auto" w:fill="FFFFFF"/>
        </w:rPr>
        <w:t>分支机构报价的，须提供分支机构的营业执照（执业许可证）扫描件及总公司（总所）出具给分支机构的授权书，</w:t>
      </w:r>
      <w:r>
        <w:rPr>
          <w:rStyle w:val="16"/>
          <w:rFonts w:hint="eastAsia"/>
          <w:shd w:val="clear" w:color="auto" w:fill="FFFFFF"/>
        </w:rPr>
        <w:t>授权书须加盖总公司（总所）公章</w:t>
      </w:r>
      <w:r>
        <w:rPr>
          <w:rFonts w:hint="eastAsia"/>
          <w:shd w:val="clear" w:color="auto" w:fill="FFFFFF"/>
        </w:rPr>
        <w:t>。总公司（总所）可就本项目或此类项目在一定范围或时间内出具授权书。已由总公司（总所）授权的，总公司（总所）取得的相关资质证书对分支机构有效，法律法规或者行业另有规定的除外。依法设立登记的分支机构以自己的名义参加政府采购活动，产生的民事责任由法人承担。</w:t>
      </w:r>
      <w:r>
        <w:rPr>
          <w:rFonts w:hint="eastAsia"/>
        </w:rPr>
        <w:t xml:space="preserve"> </w:t>
      </w:r>
    </w:p>
    <w:p w14:paraId="2DABA8BC">
      <w:pPr>
        <w:pStyle w:val="11"/>
        <w:ind w:firstLine="480"/>
      </w:pPr>
      <w:r>
        <w:rPr>
          <w:rStyle w:val="16"/>
          <w:rFonts w:hint="eastAsia"/>
        </w:rPr>
        <w:t>六、关于提供前期服务的供应商</w:t>
      </w:r>
    </w:p>
    <w:p w14:paraId="3E8B021E">
      <w:pPr>
        <w:pStyle w:val="11"/>
        <w:ind w:firstLine="480"/>
      </w:pPr>
      <w:r>
        <w:rPr>
          <w:rFonts w:hint="eastAsia"/>
        </w:rPr>
        <w:t>为采购项目提供整体设计、规范编制或者项目管理、监理、检测等服务的供应商，不得再参加该采购项目的其他采购活动。</w:t>
      </w:r>
    </w:p>
    <w:p w14:paraId="738146D6">
      <w:pPr>
        <w:pStyle w:val="11"/>
        <w:spacing w:after="150" w:line="360" w:lineRule="atLeast"/>
        <w:ind w:firstLine="480"/>
      </w:pPr>
      <w:r>
        <w:rPr>
          <w:rStyle w:val="16"/>
          <w:rFonts w:hint="eastAsia"/>
        </w:rPr>
        <w:t>七、关于中小微企业报价</w:t>
      </w:r>
    </w:p>
    <w:p w14:paraId="0AB42B06">
      <w:pPr>
        <w:pStyle w:val="11"/>
        <w:ind w:firstLine="480"/>
      </w:pPr>
      <w:r>
        <w:rPr>
          <w:rFonts w:hint="eastAsia"/>
        </w:rPr>
        <w:t>（一）根据《政府采购促进中小企业发展管理办法》的相关规定，中小微企业是指依据国务院批准的中小企业划分标准确定的中型企业、小型企业和微型企业，但与大企业的负责人为同一人，或者与大企业存在直接控股、管理关系的除外。符合中小微企业划分标准的个体工商户，在政府采购活动中视同中小微企业。中小微企业参加政府采购活动，应当提供《中小企业声明函》，否则不得享受相关中小微企业扶持政策。</w:t>
      </w:r>
    </w:p>
    <w:p w14:paraId="5EEF40DD">
      <w:pPr>
        <w:pStyle w:val="11"/>
        <w:ind w:firstLine="480"/>
      </w:pPr>
      <w:r>
        <w:rPr>
          <w:rFonts w:hint="eastAsia"/>
        </w:rPr>
        <w:t>（二）在政府采购活动中，供应商提供的货物、工程或者服务符合下列情形的，享受《政府采购促进中小企业发展管理办法》规定的中小微企业扶持政策：</w:t>
      </w:r>
    </w:p>
    <w:p w14:paraId="15C45147">
      <w:pPr>
        <w:pStyle w:val="11"/>
        <w:ind w:firstLine="480"/>
      </w:pPr>
      <w:r>
        <w:rPr>
          <w:rFonts w:hint="eastAsia"/>
        </w:rPr>
        <w:t>1.在货物采购项目中，货物由中小微企业制造，即货物由中小微企业生产且使用该中小微企业商号或者注册商标；</w:t>
      </w:r>
    </w:p>
    <w:p w14:paraId="07F3A5F0">
      <w:pPr>
        <w:pStyle w:val="11"/>
        <w:ind w:firstLine="480"/>
      </w:pPr>
      <w:r>
        <w:rPr>
          <w:rFonts w:hint="eastAsia"/>
        </w:rPr>
        <w:t>2.在工程采购项目中，工程由中小微企业承建，即工程施工单位为中小微企业；</w:t>
      </w:r>
    </w:p>
    <w:p w14:paraId="353402EF">
      <w:pPr>
        <w:pStyle w:val="11"/>
        <w:ind w:firstLine="480"/>
      </w:pPr>
      <w:r>
        <w:rPr>
          <w:rFonts w:hint="eastAsia"/>
        </w:rPr>
        <w:t>3.在服务采购项目中，服务由中小微企业承接，即提供服务的人员为中小微企业依照《中华人民共和国劳动合同法》订立劳动合同的从业人员。</w:t>
      </w:r>
    </w:p>
    <w:p w14:paraId="58728DA3">
      <w:pPr>
        <w:pStyle w:val="11"/>
        <w:ind w:firstLine="480"/>
      </w:pPr>
      <w:r>
        <w:rPr>
          <w:rFonts w:hint="eastAsia"/>
        </w:rPr>
        <w:t>（三）在货物采购项目中，供应商提供的货物既有中小微企业制造货物，也有大型企业制造货物的，不享受《政府采购促进中小企业发展管理办法》规定的中小微企业扶持政策。</w:t>
      </w:r>
    </w:p>
    <w:p w14:paraId="1895D4CB">
      <w:pPr>
        <w:pStyle w:val="11"/>
        <w:ind w:firstLine="480"/>
      </w:pPr>
      <w:r>
        <w:rPr>
          <w:rFonts w:hint="eastAsia"/>
        </w:rPr>
        <w:t>（四）以联合体形式参加政府采购活动，联合体各方均为中小微企业的，联合体视同中小微企业。其中，联合体各方均为小微企业的，联合体视同小微企业。</w:t>
      </w:r>
    </w:p>
    <w:p w14:paraId="3011BE83">
      <w:pPr>
        <w:pStyle w:val="11"/>
        <w:ind w:firstLine="480"/>
      </w:pPr>
      <w:r>
        <w:rPr>
          <w:rFonts w:hint="eastAsia"/>
        </w:rPr>
        <w:t>（五）组成联合体或者接受分包合同的中小微企业与联合体内其他企业、分包企业之间不得存在直接控股、管理关系。</w:t>
      </w:r>
    </w:p>
    <w:p w14:paraId="6848E548">
      <w:pPr>
        <w:pStyle w:val="11"/>
        <w:ind w:firstLine="480"/>
      </w:pPr>
      <w:r>
        <w:rPr>
          <w:rFonts w:hint="eastAsia"/>
        </w:rPr>
        <w:t>（六）根据财库〔2014〕68号《财政部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14:paraId="2635C01E">
      <w:pPr>
        <w:pStyle w:val="11"/>
        <w:ind w:firstLine="480"/>
      </w:pPr>
      <w:r>
        <w:rPr>
          <w:rFonts w:hint="eastAsia"/>
        </w:rPr>
        <w:t>（七）根据财库〔2017〕141号《财政部 民政部 中国残疾人联合会关于促进残疾人就业政府采购政策的通知》，在政府采购活动中，残疾人福利性单位视同小型、微型企业，享受政府采购支持政策的残疾人福利性单位应当同时满足《财政部 民政部 中国残疾人联合会关于促进残疾人就业政府采购政策的通知》所列条件。残疾人福利性单位属于小型、微型企业的，不重复享受政策。符合条件的残疾人福利性单位在参加政府采购活动时，应当提供《残疾人福利性单位声明函》，并对声明的真实性负责。</w:t>
      </w:r>
    </w:p>
    <w:p w14:paraId="6FC6389D">
      <w:pPr>
        <w:pStyle w:val="11"/>
        <w:ind w:firstLine="480"/>
      </w:pPr>
      <w:r>
        <w:rPr>
          <w:rFonts w:hint="eastAsia"/>
        </w:rPr>
        <w:t>（八）依据《政府采购促进中小企业发展管理办法》规定享受扶持政策获得政府采购合同的，小微企业不得将合同分包给大中型企业，中型企业不得将合同分包给大型企业。</w:t>
      </w:r>
    </w:p>
    <w:p w14:paraId="2FAB6A3E">
      <w:pPr>
        <w:pStyle w:val="11"/>
        <w:spacing w:after="150" w:line="360" w:lineRule="atLeast"/>
        <w:ind w:firstLine="480"/>
      </w:pPr>
      <w:r>
        <w:rPr>
          <w:rStyle w:val="16"/>
          <w:rFonts w:hint="eastAsia"/>
        </w:rPr>
        <w:t>八、报价有效期</w:t>
      </w:r>
    </w:p>
    <w:p w14:paraId="1191321A">
      <w:pPr>
        <w:pStyle w:val="11"/>
        <w:spacing w:line="360" w:lineRule="atLeast"/>
        <w:ind w:firstLine="480"/>
      </w:pPr>
      <w:r>
        <w:rPr>
          <w:rFonts w:hint="eastAsia"/>
        </w:rPr>
        <w:t>开标后90天。</w:t>
      </w:r>
    </w:p>
    <w:p w14:paraId="1DE2C4DC">
      <w:pPr>
        <w:pStyle w:val="11"/>
        <w:spacing w:line="360" w:lineRule="atLeast"/>
        <w:ind w:firstLine="480"/>
      </w:pPr>
      <w:r>
        <w:rPr>
          <w:rFonts w:hint="eastAsia"/>
        </w:rPr>
        <w:t>在特殊情况下，采购中心可于报价有效期满之前要求磋商供应商同意延长有效期，要求与答复均以书面形式进行。供应商可以拒绝上述要求，但其报价将会被拒绝；同意延期的供应商其权利与义务也相应延至新的截止期。</w:t>
      </w:r>
    </w:p>
    <w:p w14:paraId="7F041529">
      <w:pPr>
        <w:pStyle w:val="11"/>
        <w:spacing w:after="150" w:line="360" w:lineRule="atLeast"/>
        <w:ind w:firstLine="480"/>
      </w:pPr>
      <w:r>
        <w:rPr>
          <w:rStyle w:val="16"/>
          <w:rFonts w:hint="eastAsia"/>
        </w:rPr>
        <w:t>九、保证金</w:t>
      </w:r>
    </w:p>
    <w:p w14:paraId="2503C7CB">
      <w:pPr>
        <w:pStyle w:val="11"/>
        <w:spacing w:line="360" w:lineRule="atLeast"/>
        <w:ind w:firstLine="570"/>
      </w:pPr>
      <w:r>
        <w:rPr>
          <w:rFonts w:hint="eastAsia"/>
        </w:rPr>
        <w:t>本项目不收取磋商保证金。</w:t>
      </w:r>
    </w:p>
    <w:p w14:paraId="2DE6FB96">
      <w:pPr>
        <w:pStyle w:val="11"/>
        <w:spacing w:after="150" w:line="360" w:lineRule="atLeast"/>
        <w:ind w:firstLine="480"/>
      </w:pPr>
      <w:r>
        <w:rPr>
          <w:rStyle w:val="16"/>
          <w:rFonts w:hint="eastAsia"/>
        </w:rPr>
        <w:t>十、响应文件的制作</w:t>
      </w:r>
    </w:p>
    <w:p w14:paraId="04B3242B">
      <w:pPr>
        <w:pStyle w:val="11"/>
        <w:spacing w:line="360" w:lineRule="atLeast"/>
        <w:ind w:firstLine="480"/>
      </w:pPr>
      <w:r>
        <w:rPr>
          <w:rFonts w:hint="eastAsia"/>
        </w:rPr>
        <w:t>（一）响应文件中，除规定采用采购中心企业信息库中登记的信息外，其他内容均以电子文件编制。如因不按要求编制而引起系统无法检索、读取相关信息时，其后果由磋商供应商承担。</w:t>
      </w:r>
    </w:p>
    <w:p w14:paraId="375AAE7F">
      <w:pPr>
        <w:pStyle w:val="11"/>
        <w:spacing w:line="360" w:lineRule="atLeast"/>
        <w:ind w:firstLine="480"/>
      </w:pPr>
      <w:r>
        <w:rPr>
          <w:rFonts w:hint="eastAsia"/>
        </w:rPr>
        <w:t>（二）磋商供应商应使用采购中心提供的投标管理软件对响应文件进行合成、电子签名、电子签章及加密打包。所有响应文件不能进行压缩处理。</w:t>
      </w:r>
    </w:p>
    <w:p w14:paraId="402650D5">
      <w:pPr>
        <w:pStyle w:val="11"/>
        <w:spacing w:line="360" w:lineRule="atLeast"/>
        <w:ind w:firstLine="480"/>
      </w:pPr>
      <w:r>
        <w:rPr>
          <w:rFonts w:hint="eastAsia"/>
        </w:rPr>
        <w:t>（三）磋商供应商不得将同一个项目或同一个子项目的内容拆开报价，否则其报价将被视为非实质性响应。</w:t>
      </w:r>
      <w:r>
        <w:rPr>
          <w:rFonts w:hint="eastAsia"/>
        </w:rPr>
        <w:br w:type="textWrapping"/>
      </w:r>
      <w:r>
        <w:rPr>
          <w:rFonts w:hint="eastAsia"/>
        </w:rPr>
        <w:t>  </w:t>
      </w:r>
    </w:p>
    <w:p w14:paraId="3300259E">
      <w:pPr>
        <w:pStyle w:val="11"/>
        <w:spacing w:line="360" w:lineRule="atLeast"/>
        <w:ind w:firstLine="480"/>
      </w:pPr>
      <w:r>
        <w:rPr>
          <w:rFonts w:hint="eastAsia"/>
        </w:rPr>
        <w:t>（四）磋商供应商须对磋商文件的对应要求给予唯一的实质性响应，否则将视为不响应。采购需求中技术参数有具体数值要求的，供应商需在报价明细表中标注产品实际参数数值，照搬照抄采购文件参数、不注明实际数值者视为未响应。</w:t>
      </w:r>
    </w:p>
    <w:p w14:paraId="785BA8AB">
      <w:pPr>
        <w:pStyle w:val="11"/>
        <w:spacing w:line="360" w:lineRule="atLeast"/>
        <w:ind w:firstLine="480"/>
      </w:pPr>
      <w:r>
        <w:rPr>
          <w:rFonts w:hint="eastAsia"/>
        </w:rPr>
        <w:t>（五）磋商文件中，凡标有“★”的地方均为实质性响应条款，磋商供应商若有一项带“★”的条款未响应或不满足，将按无效响应处理。</w:t>
      </w:r>
    </w:p>
    <w:p w14:paraId="108700BF">
      <w:pPr>
        <w:pStyle w:val="11"/>
        <w:spacing w:line="360" w:lineRule="atLeast"/>
        <w:ind w:firstLine="480"/>
      </w:pPr>
      <w:r>
        <w:rPr>
          <w:rFonts w:hint="eastAsia"/>
        </w:rPr>
        <w:t>（六）磋商供应商要按磋商文件指定的格式填写各种报价，各报价应计算正确。除在磋商文件另有规定外，计量单位应使用中华人民共和国法定计量单位，以人民币填报所有报价。</w:t>
      </w:r>
      <w:r>
        <w:rPr>
          <w:rFonts w:hint="eastAsia"/>
        </w:rPr>
        <w:br w:type="textWrapping"/>
      </w:r>
      <w:r>
        <w:rPr>
          <w:rFonts w:hint="eastAsia"/>
        </w:rPr>
        <w:t>  </w:t>
      </w:r>
    </w:p>
    <w:p w14:paraId="4EB504D2">
      <w:pPr>
        <w:pStyle w:val="11"/>
        <w:spacing w:line="360" w:lineRule="atLeast"/>
        <w:ind w:firstLine="480"/>
      </w:pPr>
      <w:r>
        <w:rPr>
          <w:rFonts w:hint="eastAsia"/>
        </w:rPr>
        <w:t>（七）响应文件以及磋商供应商与采购人、采购中心之间的往来函电均应使用中文。磋商供应商提交的支持性文件和印制的文件可以用另一种语言，但相应内容应翻译成中文，在解释响应文件时以中文文本为准。</w:t>
      </w:r>
    </w:p>
    <w:p w14:paraId="2C6344E8">
      <w:pPr>
        <w:pStyle w:val="11"/>
        <w:spacing w:line="360" w:lineRule="atLeast"/>
        <w:ind w:firstLine="480"/>
      </w:pPr>
      <w:r>
        <w:rPr>
          <w:rFonts w:hint="eastAsia"/>
        </w:rPr>
        <w:t>（八）磋商供应商按磋商文件规定的格式完整地填写和提供资料，磋商供应商必须对所提供全部资料的真实性承担法律责任，并无条件接受采购人和政府采购监督管理部门对其中任何资料进行核实（核对原件）的要求。采购人核对发现有不一致或供应商无正当理由不按时提供原件的，应当书面知会采购中心，并书面报告本级人民政府财政部门。</w:t>
      </w:r>
    </w:p>
    <w:p w14:paraId="7AB3C28C">
      <w:pPr>
        <w:pStyle w:val="11"/>
        <w:spacing w:after="150" w:line="360" w:lineRule="atLeast"/>
        <w:ind w:firstLine="480"/>
      </w:pPr>
      <w:r>
        <w:rPr>
          <w:rStyle w:val="16"/>
          <w:rFonts w:hint="eastAsia"/>
        </w:rPr>
        <w:t>十一、响应文件的提交</w:t>
      </w:r>
    </w:p>
    <w:p w14:paraId="2C6D352A">
      <w:pPr>
        <w:pStyle w:val="11"/>
        <w:spacing w:line="360" w:lineRule="atLeast"/>
        <w:ind w:firstLine="480"/>
      </w:pPr>
      <w:r>
        <w:rPr>
          <w:rFonts w:hint="eastAsia"/>
        </w:rPr>
        <w:t>（一）磋商供应商应在上传电子响应文件前，在采购中心网站会员专区中完成项目响应登记。</w:t>
      </w:r>
    </w:p>
    <w:p w14:paraId="1CA0BC5B">
      <w:pPr>
        <w:pStyle w:val="11"/>
        <w:spacing w:line="360" w:lineRule="atLeast"/>
        <w:ind w:firstLine="480"/>
      </w:pPr>
      <w:r>
        <w:rPr>
          <w:rFonts w:hint="eastAsia"/>
        </w:rPr>
        <w:t>（二）采购中心不接受现场邮寄纸质、电报、电话、传真方式报价。</w:t>
      </w:r>
    </w:p>
    <w:p w14:paraId="000064F8">
      <w:pPr>
        <w:pStyle w:val="11"/>
        <w:spacing w:line="360" w:lineRule="atLeast"/>
        <w:ind w:firstLine="480"/>
      </w:pPr>
      <w:r>
        <w:rPr>
          <w:rFonts w:hint="eastAsia"/>
        </w:rPr>
        <w:t>（三）于提交首次响应文件截止时间前，磋商供应商将响应文件完整上传并保存在采购中心政府采购交易系统，且取得回执。时间以采购中心政府采购交易系统服务器从中国科学院国家授时中心取得的北京时间为准，提交首次响应文件截止时间结束后，系统将不允许磋商供应商上传响应文件。如遇网络上传速度较慢情况，磋商供应商也可选择到采购中心二楼自助服务区完成上传。</w:t>
      </w:r>
    </w:p>
    <w:p w14:paraId="6AF6DAB0">
      <w:pPr>
        <w:pStyle w:val="11"/>
        <w:spacing w:line="360" w:lineRule="atLeast"/>
        <w:ind w:firstLine="480"/>
      </w:pPr>
      <w:r>
        <w:rPr>
          <w:rFonts w:hint="eastAsia"/>
        </w:rPr>
        <w:t>（四）上传响应文件时，磋商供应商须使用制作该响应文件的同一业务数字证书进行上传操作。</w:t>
      </w:r>
    </w:p>
    <w:p w14:paraId="2DA0AA12">
      <w:pPr>
        <w:pStyle w:val="11"/>
        <w:spacing w:line="360" w:lineRule="atLeast"/>
        <w:ind w:firstLine="480"/>
      </w:pPr>
      <w:r>
        <w:rPr>
          <w:rFonts w:hint="eastAsia"/>
        </w:rPr>
        <w:t>（五）采购中心对因不可抗力事件造成的响应文件的损坏、丢失的，不承担责任。</w:t>
      </w:r>
    </w:p>
    <w:p w14:paraId="115FEF9C">
      <w:pPr>
        <w:pStyle w:val="11"/>
        <w:spacing w:line="360" w:lineRule="atLeast"/>
        <w:ind w:firstLine="480"/>
      </w:pPr>
      <w:r>
        <w:rPr>
          <w:rFonts w:hint="eastAsia"/>
        </w:rPr>
        <w:t>（六）出现下述情形之一，属于未成功提交响应文件：</w:t>
      </w:r>
    </w:p>
    <w:p w14:paraId="330A578D">
      <w:pPr>
        <w:pStyle w:val="11"/>
        <w:spacing w:line="360" w:lineRule="atLeast"/>
        <w:ind w:firstLine="480"/>
      </w:pPr>
      <w:r>
        <w:rPr>
          <w:rFonts w:hint="eastAsia"/>
        </w:rPr>
        <w:t>1.提交首次响应文件截止时，响应文件未完整上传并保存的。</w:t>
      </w:r>
    </w:p>
    <w:p w14:paraId="37ED114E">
      <w:pPr>
        <w:pStyle w:val="11"/>
        <w:spacing w:line="360" w:lineRule="atLeast"/>
        <w:ind w:firstLine="480"/>
      </w:pPr>
      <w:r>
        <w:rPr>
          <w:rFonts w:hint="eastAsia"/>
        </w:rPr>
        <w:t>2.响应文件未按要求进行电子签名和电子签章，或电子签名或电子签章不完整的。</w:t>
      </w:r>
    </w:p>
    <w:p w14:paraId="1F656182">
      <w:pPr>
        <w:pStyle w:val="11"/>
        <w:spacing w:line="360" w:lineRule="atLeast"/>
        <w:ind w:firstLine="480"/>
      </w:pPr>
      <w:r>
        <w:rPr>
          <w:rFonts w:hint="eastAsia"/>
        </w:rPr>
        <w:t>3.响应文件损坏或格式不正确的。</w:t>
      </w:r>
    </w:p>
    <w:p w14:paraId="0900A25F">
      <w:pPr>
        <w:pStyle w:val="11"/>
        <w:spacing w:line="360" w:lineRule="atLeast"/>
        <w:ind w:firstLine="480"/>
      </w:pPr>
      <w:r>
        <w:rPr>
          <w:rFonts w:hint="eastAsia"/>
        </w:rPr>
        <w:t>4.未使用最新发布的磋商文件制作响应文件的。 </w:t>
      </w:r>
    </w:p>
    <w:p w14:paraId="1BBA8076">
      <w:pPr>
        <w:pStyle w:val="11"/>
        <w:spacing w:after="150" w:line="360" w:lineRule="atLeast"/>
        <w:ind w:firstLine="480"/>
      </w:pPr>
      <w:r>
        <w:rPr>
          <w:rStyle w:val="16"/>
          <w:rFonts w:hint="eastAsia"/>
        </w:rPr>
        <w:t>十二、响应文件的解密</w:t>
      </w:r>
    </w:p>
    <w:p w14:paraId="4DFAFF1C">
      <w:pPr>
        <w:pStyle w:val="11"/>
        <w:spacing w:line="360" w:lineRule="atLeast"/>
        <w:ind w:firstLine="420"/>
      </w:pPr>
      <w:r>
        <w:rPr>
          <w:rFonts w:hint="eastAsia"/>
        </w:rPr>
        <w:t>供应商须在规定的响应文件解密时间内，使用制作该响应文件的同一业务数字证书对响应文件进行解密，逾期未解密的响应文件作无效处理。 </w:t>
      </w:r>
    </w:p>
    <w:p w14:paraId="5F6778DF">
      <w:pPr>
        <w:pStyle w:val="11"/>
        <w:spacing w:after="150" w:line="360" w:lineRule="atLeast"/>
        <w:ind w:firstLine="480"/>
      </w:pPr>
      <w:r>
        <w:rPr>
          <w:rStyle w:val="16"/>
          <w:rFonts w:hint="eastAsia"/>
        </w:rPr>
        <w:t>十三、询问、质疑、投诉</w:t>
      </w:r>
    </w:p>
    <w:p w14:paraId="747BB356">
      <w:pPr>
        <w:pStyle w:val="11"/>
        <w:ind w:firstLine="480"/>
      </w:pPr>
      <w:r>
        <w:rPr>
          <w:rFonts w:hint="eastAsia"/>
        </w:rPr>
        <w:t>（一）询问</w:t>
      </w:r>
    </w:p>
    <w:p w14:paraId="778FE18F">
      <w:pPr>
        <w:pStyle w:val="11"/>
        <w:ind w:firstLine="480"/>
      </w:pPr>
      <w:r>
        <w:rPr>
          <w:rFonts w:hint="eastAsia"/>
        </w:rPr>
        <w:t>供应商对政府采购活动事项（磋商文件、采购过程和成交结果）有疑问的，可以向采购人或采购代理机构提出询问，采购人或采购代理机构将及时作出答复，但答复的内容不涉及商业秘密。询问可以口头方式提出，也可以书面方式提出，书面方式包括但不限于传真、信函、电子邮件。以书面方式提出的，询问文件应当署名，询问供应商为自然人的，应当由本人签字；询问供应商为法人或者其他组织的，应当由法定代表人、主要负责人，或者其授权代表签字或者盖章，并加盖公章。联系方式见招标公告中“采购人、采购代理机构的名称、地址和联系方式”。</w:t>
      </w:r>
    </w:p>
    <w:p w14:paraId="39098E0F">
      <w:pPr>
        <w:pStyle w:val="11"/>
        <w:ind w:firstLine="480"/>
      </w:pPr>
      <w:r>
        <w:rPr>
          <w:rFonts w:hint="eastAsia"/>
        </w:rPr>
        <w:t>（二）质疑</w:t>
      </w:r>
    </w:p>
    <w:p w14:paraId="4167910F">
      <w:pPr>
        <w:pStyle w:val="11"/>
        <w:ind w:firstLine="480"/>
      </w:pPr>
      <w:r>
        <w:rPr>
          <w:rFonts w:hint="eastAsia"/>
        </w:rPr>
        <w:t>1.供应商认为招标文件、采购过程和成交结果使自己的权益受到损害的，可以在知道或者应知其权益受到损害之日起七个工作日内，以书面原件形式向采购人或采购代理机构一次性提出针对同一采购程序环节的质疑，逾期质疑无效。供应商应知其权益受到损害之日是指：</w:t>
      </w:r>
    </w:p>
    <w:p w14:paraId="12AD9A83">
      <w:pPr>
        <w:pStyle w:val="11"/>
        <w:ind w:firstLine="480"/>
      </w:pPr>
      <w:r>
        <w:rPr>
          <w:rFonts w:hint="eastAsia"/>
        </w:rPr>
        <w:t>(1)对磋商文件提出质疑的，为获取磋商文件之日或者磋商文件公告期限届满之日；</w:t>
      </w:r>
    </w:p>
    <w:p w14:paraId="671E86BB">
      <w:pPr>
        <w:pStyle w:val="11"/>
        <w:ind w:firstLine="480"/>
      </w:pPr>
      <w:r>
        <w:rPr>
          <w:rFonts w:hint="eastAsia"/>
        </w:rPr>
        <w:t>(2)对采购过程提出质疑的，为各采购程序环节结束之日；</w:t>
      </w:r>
    </w:p>
    <w:p w14:paraId="31C04CA6">
      <w:pPr>
        <w:pStyle w:val="11"/>
        <w:ind w:firstLine="480"/>
      </w:pPr>
      <w:r>
        <w:rPr>
          <w:rFonts w:hint="eastAsia"/>
        </w:rPr>
        <w:t>(3)对成交结果提出质疑的，为成交结果公告期限届满之日。</w:t>
      </w:r>
    </w:p>
    <w:p w14:paraId="3BC96D22">
      <w:pPr>
        <w:pStyle w:val="11"/>
        <w:ind w:firstLine="480"/>
      </w:pPr>
      <w:r>
        <w:rPr>
          <w:rFonts w:hint="eastAsia"/>
        </w:rPr>
        <w:t>2.质疑函应当包括下列主要内容：</w:t>
      </w:r>
    </w:p>
    <w:p w14:paraId="182480F6">
      <w:pPr>
        <w:pStyle w:val="11"/>
        <w:ind w:firstLine="480"/>
      </w:pPr>
      <w:r>
        <w:rPr>
          <w:rFonts w:hint="eastAsia"/>
        </w:rPr>
        <w:t>(1)质疑供应商和相关供应商的名称、地址、邮编、联系人及联系电话等；</w:t>
      </w:r>
    </w:p>
    <w:p w14:paraId="7CB82BC6">
      <w:pPr>
        <w:pStyle w:val="11"/>
        <w:ind w:firstLine="480"/>
      </w:pPr>
      <w:r>
        <w:rPr>
          <w:rFonts w:hint="eastAsia"/>
        </w:rPr>
        <w:t>(2)质疑项目名称及编号、具体明确的质疑事项和与质疑事项相关的请求；</w:t>
      </w:r>
    </w:p>
    <w:p w14:paraId="5CC71E1A">
      <w:pPr>
        <w:pStyle w:val="11"/>
        <w:ind w:firstLine="480"/>
      </w:pPr>
      <w:r>
        <w:rPr>
          <w:rFonts w:hint="eastAsia"/>
        </w:rPr>
        <w:t>(3)认为采购文件、采购过程、中标和成交结果使自己的合法权益受到损害的法律依据、事实依据、相关证明材料及证据来源；</w:t>
      </w:r>
    </w:p>
    <w:p w14:paraId="236003BD">
      <w:pPr>
        <w:pStyle w:val="11"/>
        <w:ind w:firstLine="480"/>
      </w:pPr>
      <w:r>
        <w:rPr>
          <w:rFonts w:hint="eastAsia"/>
        </w:rPr>
        <w:t>(4)提出质疑的日期。</w:t>
      </w:r>
    </w:p>
    <w:p w14:paraId="59F1EB05">
      <w:pPr>
        <w:pStyle w:val="11"/>
        <w:ind w:firstLine="480"/>
      </w:pPr>
      <w:r>
        <w:rPr>
          <w:rFonts w:hint="eastAsia"/>
        </w:rPr>
        <w:t>3.质疑函应当署名。质疑供应商为自然人的，应当由本人签字；质疑供应商为法人或者其他组织的，应当由法定代表人、主要负责人，或者其授权代表签字或者盖章，并加盖公章。</w:t>
      </w:r>
    </w:p>
    <w:p w14:paraId="5990CE17">
      <w:pPr>
        <w:pStyle w:val="11"/>
        <w:ind w:firstLine="480"/>
      </w:pPr>
      <w:r>
        <w:rPr>
          <w:rFonts w:hint="eastAsia"/>
        </w:rPr>
        <w:t>4.以联合体形式参加政府采购活动的，其质疑应当由联合体成员委托主体提出。</w:t>
      </w:r>
    </w:p>
    <w:p w14:paraId="330D962C">
      <w:pPr>
        <w:pStyle w:val="11"/>
        <w:ind w:firstLine="480"/>
      </w:pPr>
      <w:r>
        <w:rPr>
          <w:rFonts w:hint="eastAsia"/>
        </w:rPr>
        <w:t>5.供应商质疑应当有明确的请求和必要的证明材料。质疑内容不得含有虚假、恶意成份。依照谁主张谁举证的原则，提出质疑者必须同时提交相关确凿的证据材料和注明证据的确切来源，证据来源必须合法，采购人或采购代理机构有权将质疑函转发质疑事项各关联方，请其作出解释说明。对捏造事实、滥用维权扰乱采购秩序的恶意质疑者，将上报政府采购监督管理部门依法处理。</w:t>
      </w:r>
    </w:p>
    <w:p w14:paraId="27451E54">
      <w:pPr>
        <w:pStyle w:val="11"/>
        <w:ind w:firstLine="480"/>
      </w:pPr>
      <w:r>
        <w:rPr>
          <w:rFonts w:hint="eastAsia"/>
        </w:rPr>
        <w:t>6.质疑联系方式如下：</w:t>
      </w:r>
    </w:p>
    <w:p w14:paraId="32C7B1A1">
      <w:pPr>
        <w:pStyle w:val="11"/>
        <w:ind w:firstLine="480"/>
      </w:pPr>
      <w:r>
        <w:rPr>
          <w:rFonts w:hint="eastAsia"/>
        </w:rPr>
        <w:t>质疑联系人：冯西韵</w:t>
      </w:r>
    </w:p>
    <w:p w14:paraId="7EA3FACE">
      <w:pPr>
        <w:pStyle w:val="11"/>
        <w:ind w:firstLine="480"/>
      </w:pPr>
      <w:r>
        <w:rPr>
          <w:rFonts w:hint="eastAsia"/>
        </w:rPr>
        <w:t>电话：（020）28866163</w:t>
      </w:r>
    </w:p>
    <w:p w14:paraId="64AA2B7F">
      <w:pPr>
        <w:pStyle w:val="11"/>
        <w:ind w:firstLine="480"/>
      </w:pPr>
      <w:r>
        <w:rPr>
          <w:rFonts w:hint="eastAsia"/>
        </w:rPr>
        <w:t>地址：广州市天河区天润路333号4楼综合管理部</w:t>
      </w:r>
    </w:p>
    <w:p w14:paraId="3105E5F6">
      <w:pPr>
        <w:pStyle w:val="11"/>
        <w:ind w:firstLine="480"/>
      </w:pPr>
      <w:r>
        <w:rPr>
          <w:rFonts w:hint="eastAsia"/>
        </w:rPr>
        <w:t>邮编：510630</w:t>
      </w:r>
    </w:p>
    <w:p w14:paraId="28F1DEA2">
      <w:pPr>
        <w:pStyle w:val="11"/>
        <w:ind w:firstLine="480"/>
      </w:pPr>
      <w:r>
        <w:rPr>
          <w:rFonts w:hint="eastAsia"/>
        </w:rPr>
        <w:t>（三）投诉</w:t>
      </w:r>
    </w:p>
    <w:p w14:paraId="2BCF24EE">
      <w:pPr>
        <w:pStyle w:val="11"/>
        <w:ind w:firstLine="480"/>
      </w:pPr>
      <w:r>
        <w:rPr>
          <w:rFonts w:hint="eastAsia"/>
        </w:rPr>
        <w:t>质疑人对采购人或采购代理机构的质疑答复不满意或在规定时间内未得到答复的，可以在答复期满后15个工作日内，按如下联系方式向本项目采购人同级监督管理部门提起投诉。</w:t>
      </w:r>
    </w:p>
    <w:p w14:paraId="4C2EBF19">
      <w:pPr>
        <w:pStyle w:val="11"/>
        <w:ind w:firstLine="480"/>
      </w:pPr>
      <w:r>
        <w:rPr>
          <w:rFonts w:hint="eastAsia"/>
        </w:rPr>
        <w:t>监督管理机构名称：广州市干部健康管理中心</w:t>
      </w:r>
      <w:r>
        <w:t xml:space="preserve"> </w:t>
      </w:r>
    </w:p>
    <w:p w14:paraId="5BD7FAD4">
      <w:pPr>
        <w:pStyle w:val="11"/>
        <w:ind w:firstLine="480"/>
      </w:pPr>
      <w:r>
        <w:rPr>
          <w:rFonts w:hint="eastAsia"/>
        </w:rPr>
        <w:t>地 址：</w:t>
      </w:r>
      <w:r>
        <w:t xml:space="preserve"> </w:t>
      </w:r>
      <w:r>
        <w:rPr>
          <w:rFonts w:hint="eastAsia"/>
        </w:rPr>
        <w:t>广州市黄埔区长岭路109号</w:t>
      </w:r>
    </w:p>
    <w:p w14:paraId="21C86780">
      <w:pPr>
        <w:pStyle w:val="11"/>
        <w:ind w:firstLine="480"/>
      </w:pPr>
      <w:r>
        <w:rPr>
          <w:rFonts w:hint="eastAsia"/>
        </w:rPr>
        <w:t>电 话：82259890-6619</w:t>
      </w:r>
    </w:p>
    <w:p w14:paraId="78E48AC0">
      <w:pPr>
        <w:pStyle w:val="11"/>
        <w:ind w:firstLine="480"/>
        <w:rPr>
          <w:rFonts w:eastAsia="等线"/>
        </w:rPr>
      </w:pPr>
      <w:r>
        <w:rPr>
          <w:rFonts w:hint="eastAsia"/>
        </w:rPr>
        <w:t>邮 编：</w:t>
      </w:r>
      <w:r>
        <w:t xml:space="preserve"> 510530</w:t>
      </w:r>
    </w:p>
    <w:p w14:paraId="4E7C7AAA">
      <w:pPr>
        <w:pStyle w:val="11"/>
        <w:spacing w:after="150" w:line="360" w:lineRule="atLeast"/>
        <w:ind w:firstLine="480"/>
      </w:pPr>
      <w:r>
        <w:rPr>
          <w:rStyle w:val="16"/>
          <w:rFonts w:hint="eastAsia"/>
        </w:rPr>
        <w:t>十四、知识产权</w:t>
      </w:r>
    </w:p>
    <w:p w14:paraId="3435D5D8">
      <w:pPr>
        <w:pStyle w:val="11"/>
        <w:spacing w:line="360" w:lineRule="atLeast"/>
        <w:ind w:firstLine="420"/>
      </w:pPr>
      <w:r>
        <w:rPr>
          <w:rFonts w:hint="eastAsia"/>
        </w:rPr>
        <w:t>（一）供应商必须保证，采购人在中华人民共和国境内使用投标货物、资料、技术、服务或其任何一部分时，享有不受限制的无偿使用权，如有第三方向采购人提出侵犯其专利权、商标权或其它知识产权的主张，该责任应由供应商承担。</w:t>
      </w:r>
    </w:p>
    <w:p w14:paraId="2E5F9221">
      <w:pPr>
        <w:pStyle w:val="11"/>
        <w:spacing w:line="360" w:lineRule="atLeast"/>
        <w:ind w:firstLine="420"/>
      </w:pPr>
      <w:r>
        <w:rPr>
          <w:rFonts w:hint="eastAsia"/>
        </w:rPr>
        <w:t>（二）报价应包含所有应向所有权人支付的专利权、商标权或其它知识产权的一切相关费用。</w:t>
      </w:r>
    </w:p>
    <w:p w14:paraId="0C2EC5E5">
      <w:pPr>
        <w:pStyle w:val="11"/>
        <w:spacing w:line="360" w:lineRule="atLeast"/>
        <w:ind w:firstLine="420"/>
      </w:pPr>
      <w:r>
        <w:rPr>
          <w:rFonts w:hint="eastAsia"/>
        </w:rPr>
        <w:t>（三）系统软件、通用软件必须是具有在中国境内的合法使用权或版权的正版软件，涉及到第三方提出侵权或知识产权的起诉及支付版税等费用由供应商承担所有责任及费用。</w:t>
      </w:r>
    </w:p>
    <w:p w14:paraId="05AA3745">
      <w:pPr>
        <w:pStyle w:val="11"/>
        <w:spacing w:line="360" w:lineRule="atLeast"/>
        <w:ind w:firstLine="420"/>
      </w:pPr>
      <w:r>
        <w:rPr>
          <w:rFonts w:hint="eastAsia"/>
        </w:rPr>
        <w:t>（四）成交供应商需对所有成果、产品的知识产权负有瑕疵担保责任，因使用未被授权使用的技术、组件、系统软件、通用软件等知识产权问题引起的纠纷所产生的所有责任及费用由成交供应商自行承担。</w:t>
      </w:r>
    </w:p>
    <w:p w14:paraId="58A9D233">
      <w:pPr>
        <w:pStyle w:val="11"/>
        <w:spacing w:line="360" w:lineRule="atLeast"/>
        <w:ind w:firstLine="420"/>
      </w:pPr>
      <w:r>
        <w:rPr>
          <w:rFonts w:hint="eastAsia"/>
        </w:rPr>
        <w:t>（五）本项目研究成果及其技术文档等所有权由采购人享有，技术文档资料包括完备的系统设计文档、功能模块说明、程序源代码、执行代码、使用手册等，采购人对本项目的所有成果具有所有权。项目所交付的应用系统软件环境包括生产环境（正式环境）、测试环境、开发环境，所有环境均要求能正常使用，未经采购人许可，成交供应商不得将相关采购人资料提供给第三方。</w:t>
      </w:r>
    </w:p>
    <w:p w14:paraId="5C991D53">
      <w:pPr>
        <w:pStyle w:val="11"/>
        <w:spacing w:after="150" w:line="360" w:lineRule="atLeast"/>
        <w:ind w:firstLine="480"/>
      </w:pPr>
      <w:r>
        <w:rPr>
          <w:rStyle w:val="16"/>
          <w:rFonts w:hint="eastAsia"/>
        </w:rPr>
        <w:t>十五、磋商文件的解释权</w:t>
      </w:r>
    </w:p>
    <w:p w14:paraId="0E929041">
      <w:pPr>
        <w:pStyle w:val="11"/>
        <w:spacing w:line="360" w:lineRule="atLeast"/>
        <w:ind w:firstLine="420"/>
      </w:pPr>
      <w:r>
        <w:rPr>
          <w:rFonts w:hint="eastAsia"/>
        </w:rPr>
        <w:t>本磋商文件由采购中心负责解释。</w:t>
      </w:r>
    </w:p>
    <w:p w14:paraId="19956038">
      <w:pPr>
        <w:pStyle w:val="11"/>
      </w:pPr>
      <w:r>
        <w:rPr>
          <w:rFonts w:hint="eastAsia"/>
        </w:rPr>
        <w:t> </w:t>
      </w:r>
    </w:p>
    <w:p w14:paraId="60D000A1">
      <w:pPr>
        <w:widowControl/>
        <w:jc w:val="left"/>
        <w:rPr>
          <w:kern w:val="0"/>
        </w:rPr>
        <w:sectPr>
          <w:pgSz w:w="11906" w:h="16838"/>
          <w:pgMar w:top="1440" w:right="1800" w:bottom="1440" w:left="1800" w:header="851" w:footer="992" w:gutter="0"/>
          <w:cols w:space="425" w:num="1"/>
          <w:docGrid w:type="lines" w:linePitch="312" w:charSpace="0"/>
        </w:sectPr>
      </w:pPr>
    </w:p>
    <w:p w14:paraId="515C6C3B">
      <w:pPr>
        <w:jc w:val="center"/>
        <w:outlineLvl w:val="0"/>
        <w:rPr>
          <w:rFonts w:ascii="宋体" w:hAnsi="宋体"/>
          <w:b/>
          <w:sz w:val="30"/>
        </w:rPr>
      </w:pPr>
      <w:r>
        <w:rPr>
          <w:rFonts w:hint="eastAsia" w:ascii="宋体" w:hAnsi="宋体"/>
          <w:b/>
          <w:sz w:val="30"/>
        </w:rPr>
        <w:t>第二章 采购需求</w:t>
      </w:r>
    </w:p>
    <w:p w14:paraId="5F8A13B7">
      <w:pPr>
        <w:pStyle w:val="31"/>
        <w:spacing w:line="360" w:lineRule="auto"/>
        <w:ind w:firstLine="0" w:firstLineChars="0"/>
        <w:rPr>
          <w:rFonts w:ascii="宋体" w:hAnsi="宋体" w:eastAsia="宋体" w:cs="仿宋"/>
          <w:b/>
          <w:sz w:val="24"/>
          <w:szCs w:val="24"/>
        </w:rPr>
      </w:pPr>
    </w:p>
    <w:p w14:paraId="0E7A3AE6">
      <w:pPr>
        <w:pStyle w:val="31"/>
        <w:spacing w:line="360" w:lineRule="auto"/>
        <w:ind w:firstLine="0" w:firstLineChars="0"/>
        <w:rPr>
          <w:rFonts w:ascii="宋体" w:hAnsi="宋体" w:eastAsia="宋体" w:cs="仿宋"/>
          <w:b/>
          <w:sz w:val="24"/>
          <w:szCs w:val="24"/>
        </w:rPr>
      </w:pPr>
    </w:p>
    <w:p w14:paraId="7540AA6C">
      <w:pPr>
        <w:pStyle w:val="3"/>
        <w:spacing w:line="360" w:lineRule="auto"/>
        <w:rPr>
          <w:rFonts w:ascii="宋体" w:hAnsi="宋体" w:eastAsia="宋体"/>
          <w:sz w:val="24"/>
          <w:szCs w:val="24"/>
        </w:rPr>
      </w:pPr>
      <w:r>
        <w:rPr>
          <w:rFonts w:hint="eastAsia" w:ascii="宋体" w:hAnsi="宋体" w:eastAsia="宋体"/>
          <w:sz w:val="24"/>
          <w:szCs w:val="24"/>
        </w:rPr>
        <w:t>1、设备维护保养需求</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334"/>
        <w:gridCol w:w="1275"/>
        <w:gridCol w:w="780"/>
        <w:gridCol w:w="660"/>
        <w:gridCol w:w="2555"/>
        <w:gridCol w:w="1218"/>
      </w:tblGrid>
      <w:tr w14:paraId="325B3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14:paraId="636CE272">
            <w:pPr>
              <w:widowControl/>
              <w:spacing w:line="360" w:lineRule="auto"/>
              <w:jc w:val="center"/>
              <w:textAlignment w:val="center"/>
              <w:rPr>
                <w:rFonts w:ascii="宋体" w:hAnsi="宋体" w:cs="宋体"/>
                <w:kern w:val="0"/>
                <w:szCs w:val="24"/>
              </w:rPr>
            </w:pPr>
            <w:r>
              <w:rPr>
                <w:rFonts w:hint="eastAsia" w:ascii="宋体" w:hAnsi="宋体" w:cs="宋体"/>
                <w:kern w:val="0"/>
                <w:szCs w:val="24"/>
              </w:rPr>
              <w:t>序号</w:t>
            </w:r>
          </w:p>
        </w:tc>
        <w:tc>
          <w:tcPr>
            <w:tcW w:w="1334" w:type="dxa"/>
            <w:tcBorders>
              <w:top w:val="single" w:color="auto" w:sz="4" w:space="0"/>
              <w:left w:val="single" w:color="auto" w:sz="4" w:space="0"/>
              <w:bottom w:val="single" w:color="auto" w:sz="4" w:space="0"/>
              <w:right w:val="single" w:color="auto" w:sz="4" w:space="0"/>
            </w:tcBorders>
            <w:shd w:val="clear" w:color="auto" w:fill="auto"/>
            <w:vAlign w:val="center"/>
          </w:tcPr>
          <w:p w14:paraId="5A445EAD">
            <w:pPr>
              <w:widowControl/>
              <w:spacing w:line="360" w:lineRule="auto"/>
              <w:jc w:val="center"/>
              <w:textAlignment w:val="center"/>
              <w:rPr>
                <w:rFonts w:ascii="宋体" w:hAnsi="宋体" w:cs="宋体"/>
                <w:kern w:val="0"/>
                <w:szCs w:val="24"/>
              </w:rPr>
            </w:pPr>
            <w:r>
              <w:rPr>
                <w:rFonts w:hint="eastAsia" w:ascii="宋体" w:hAnsi="宋体" w:cs="宋体"/>
                <w:kern w:val="0"/>
                <w:szCs w:val="24"/>
              </w:rPr>
              <w:t>型号</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3F29CFB9">
            <w:pPr>
              <w:widowControl/>
              <w:spacing w:line="360" w:lineRule="auto"/>
              <w:jc w:val="center"/>
              <w:textAlignment w:val="center"/>
              <w:rPr>
                <w:rFonts w:ascii="宋体" w:hAnsi="宋体" w:cs="宋体"/>
                <w:kern w:val="0"/>
                <w:szCs w:val="24"/>
              </w:rPr>
            </w:pPr>
            <w:r>
              <w:rPr>
                <w:rFonts w:hint="eastAsia" w:ascii="宋体" w:hAnsi="宋体" w:cs="宋体"/>
                <w:kern w:val="0"/>
                <w:szCs w:val="24"/>
              </w:rPr>
              <w:t>系列号</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14:paraId="50545D9A">
            <w:pPr>
              <w:widowControl/>
              <w:spacing w:line="360" w:lineRule="auto"/>
              <w:jc w:val="center"/>
              <w:textAlignment w:val="center"/>
              <w:rPr>
                <w:rFonts w:ascii="宋体" w:hAnsi="宋体" w:cs="宋体"/>
                <w:kern w:val="0"/>
                <w:szCs w:val="24"/>
              </w:rPr>
            </w:pPr>
            <w:r>
              <w:rPr>
                <w:rFonts w:hint="eastAsia" w:ascii="宋体" w:hAnsi="宋体" w:cs="宋体"/>
                <w:kern w:val="0"/>
                <w:szCs w:val="24"/>
              </w:rPr>
              <w:t>单位</w:t>
            </w: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7EE8DF0B">
            <w:pPr>
              <w:widowControl/>
              <w:spacing w:line="360" w:lineRule="auto"/>
              <w:jc w:val="center"/>
              <w:textAlignment w:val="center"/>
              <w:rPr>
                <w:rFonts w:ascii="宋体" w:hAnsi="宋体" w:cs="宋体"/>
                <w:kern w:val="0"/>
                <w:szCs w:val="24"/>
              </w:rPr>
            </w:pPr>
            <w:r>
              <w:rPr>
                <w:rFonts w:hint="eastAsia" w:ascii="宋体" w:hAnsi="宋体" w:cs="宋体"/>
                <w:kern w:val="0"/>
                <w:szCs w:val="24"/>
              </w:rPr>
              <w:t>数量</w:t>
            </w:r>
          </w:p>
        </w:tc>
        <w:tc>
          <w:tcPr>
            <w:tcW w:w="2555" w:type="dxa"/>
            <w:tcBorders>
              <w:top w:val="single" w:color="auto" w:sz="4" w:space="0"/>
              <w:left w:val="single" w:color="auto" w:sz="4" w:space="0"/>
              <w:bottom w:val="single" w:color="auto" w:sz="4" w:space="0"/>
              <w:right w:val="single" w:color="auto" w:sz="4" w:space="0"/>
            </w:tcBorders>
            <w:shd w:val="clear" w:color="auto" w:fill="auto"/>
            <w:vAlign w:val="center"/>
          </w:tcPr>
          <w:p w14:paraId="3582CA2F">
            <w:pPr>
              <w:widowControl/>
              <w:spacing w:line="360" w:lineRule="auto"/>
              <w:jc w:val="center"/>
              <w:textAlignment w:val="center"/>
              <w:rPr>
                <w:rFonts w:ascii="宋体" w:hAnsi="宋体" w:cs="宋体"/>
                <w:kern w:val="0"/>
                <w:szCs w:val="24"/>
              </w:rPr>
            </w:pPr>
            <w:r>
              <w:rPr>
                <w:rFonts w:hint="eastAsia" w:ascii="宋体" w:hAnsi="宋体" w:cs="宋体"/>
                <w:kern w:val="0"/>
                <w:szCs w:val="24"/>
              </w:rPr>
              <w:t>维保服务范围</w:t>
            </w:r>
          </w:p>
        </w:tc>
        <w:tc>
          <w:tcPr>
            <w:tcW w:w="1218" w:type="dxa"/>
            <w:tcBorders>
              <w:top w:val="single" w:color="auto" w:sz="4" w:space="0"/>
              <w:left w:val="single" w:color="auto" w:sz="4" w:space="0"/>
              <w:bottom w:val="single" w:color="auto" w:sz="4" w:space="0"/>
              <w:right w:val="single" w:color="auto" w:sz="4" w:space="0"/>
            </w:tcBorders>
            <w:shd w:val="clear" w:color="auto" w:fill="auto"/>
            <w:vAlign w:val="center"/>
          </w:tcPr>
          <w:p w14:paraId="32A7AE8C">
            <w:pPr>
              <w:widowControl/>
              <w:spacing w:line="360" w:lineRule="auto"/>
              <w:jc w:val="center"/>
              <w:textAlignment w:val="center"/>
              <w:rPr>
                <w:rFonts w:ascii="宋体" w:hAnsi="宋体" w:cs="宋体"/>
                <w:kern w:val="0"/>
                <w:szCs w:val="24"/>
              </w:rPr>
            </w:pPr>
            <w:r>
              <w:rPr>
                <w:rFonts w:hint="eastAsia" w:ascii="宋体" w:hAnsi="宋体" w:cs="宋体"/>
                <w:kern w:val="0"/>
                <w:szCs w:val="24"/>
              </w:rPr>
              <w:t>维保时间</w:t>
            </w:r>
          </w:p>
        </w:tc>
      </w:tr>
      <w:tr w14:paraId="210B0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14:paraId="72EE8960">
            <w:pPr>
              <w:spacing w:line="360" w:lineRule="auto"/>
              <w:jc w:val="center"/>
              <w:rPr>
                <w:rFonts w:ascii="宋体" w:hAnsi="宋体" w:cs="宋体"/>
                <w:kern w:val="0"/>
                <w:szCs w:val="24"/>
              </w:rPr>
            </w:pPr>
            <w:r>
              <w:rPr>
                <w:rFonts w:hint="eastAsia" w:ascii="宋体" w:hAnsi="宋体" w:cs="宋体"/>
                <w:kern w:val="0"/>
                <w:szCs w:val="24"/>
              </w:rPr>
              <w:t>1</w:t>
            </w:r>
          </w:p>
        </w:tc>
        <w:tc>
          <w:tcPr>
            <w:tcW w:w="1334" w:type="dxa"/>
            <w:tcBorders>
              <w:top w:val="single" w:color="auto" w:sz="4" w:space="0"/>
              <w:left w:val="single" w:color="auto" w:sz="4" w:space="0"/>
              <w:bottom w:val="single" w:color="auto" w:sz="4" w:space="0"/>
              <w:right w:val="single" w:color="auto" w:sz="4" w:space="0"/>
            </w:tcBorders>
            <w:shd w:val="clear" w:color="auto" w:fill="auto"/>
            <w:vAlign w:val="center"/>
          </w:tcPr>
          <w:p w14:paraId="3FEB1441">
            <w:pPr>
              <w:spacing w:line="360" w:lineRule="auto"/>
              <w:jc w:val="center"/>
              <w:rPr>
                <w:rFonts w:ascii="宋体" w:hAnsi="宋体" w:cs="宋体"/>
                <w:kern w:val="0"/>
                <w:szCs w:val="24"/>
              </w:rPr>
            </w:pPr>
            <w:r>
              <w:rPr>
                <w:rFonts w:hint="eastAsia" w:ascii="宋体" w:hAnsi="宋体" w:cs="宋体"/>
                <w:kern w:val="0"/>
                <w:szCs w:val="24"/>
              </w:rPr>
              <w:t>uCT530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2CB86113">
            <w:pPr>
              <w:spacing w:line="360" w:lineRule="auto"/>
              <w:jc w:val="center"/>
              <w:rPr>
                <w:rFonts w:ascii="宋体" w:hAnsi="宋体" w:cs="宋体"/>
                <w:kern w:val="0"/>
                <w:szCs w:val="24"/>
              </w:rPr>
            </w:pPr>
            <w:r>
              <w:rPr>
                <w:rFonts w:hint="eastAsia" w:ascii="宋体" w:hAnsi="宋体" w:cs="宋体"/>
                <w:kern w:val="0"/>
                <w:szCs w:val="24"/>
              </w:rPr>
              <w:t>306277</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14:paraId="1AB4DCBB">
            <w:pPr>
              <w:spacing w:line="360" w:lineRule="auto"/>
              <w:jc w:val="center"/>
              <w:rPr>
                <w:rFonts w:ascii="宋体" w:hAnsi="宋体" w:cs="宋体"/>
                <w:kern w:val="0"/>
                <w:szCs w:val="24"/>
              </w:rPr>
            </w:pPr>
            <w:r>
              <w:rPr>
                <w:rFonts w:hint="eastAsia" w:ascii="宋体" w:hAnsi="宋体" w:cs="宋体"/>
                <w:kern w:val="0"/>
                <w:szCs w:val="24"/>
              </w:rPr>
              <w:t>台</w:t>
            </w: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6DC9496F">
            <w:pPr>
              <w:spacing w:line="360" w:lineRule="auto"/>
              <w:jc w:val="center"/>
              <w:rPr>
                <w:rFonts w:ascii="宋体" w:hAnsi="宋体" w:cs="宋体"/>
                <w:kern w:val="0"/>
                <w:szCs w:val="24"/>
              </w:rPr>
            </w:pPr>
            <w:r>
              <w:rPr>
                <w:rFonts w:hint="eastAsia" w:ascii="宋体" w:hAnsi="宋体" w:cs="宋体"/>
                <w:kern w:val="0"/>
                <w:szCs w:val="24"/>
              </w:rPr>
              <w:t>1</w:t>
            </w:r>
          </w:p>
        </w:tc>
        <w:tc>
          <w:tcPr>
            <w:tcW w:w="2555" w:type="dxa"/>
            <w:tcBorders>
              <w:top w:val="single" w:color="auto" w:sz="4" w:space="0"/>
              <w:left w:val="single" w:color="auto" w:sz="4" w:space="0"/>
              <w:bottom w:val="single" w:color="auto" w:sz="4" w:space="0"/>
              <w:right w:val="single" w:color="auto" w:sz="4" w:space="0"/>
            </w:tcBorders>
            <w:shd w:val="clear" w:color="auto" w:fill="auto"/>
            <w:vAlign w:val="center"/>
          </w:tcPr>
          <w:p w14:paraId="77F35049">
            <w:pPr>
              <w:spacing w:line="360" w:lineRule="auto"/>
              <w:jc w:val="center"/>
              <w:rPr>
                <w:rFonts w:ascii="宋体" w:hAnsi="宋体" w:cs="宋体"/>
                <w:kern w:val="0"/>
                <w:szCs w:val="24"/>
              </w:rPr>
            </w:pPr>
            <w:r>
              <w:rPr>
                <w:rFonts w:hint="eastAsia" w:ascii="宋体" w:hAnsi="宋体" w:cs="宋体"/>
                <w:kern w:val="0"/>
                <w:szCs w:val="24"/>
              </w:rPr>
              <w:t>原厂保（除球管、高压发生器、探测器以外的所有相关备件）</w:t>
            </w:r>
          </w:p>
        </w:tc>
        <w:tc>
          <w:tcPr>
            <w:tcW w:w="121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47D16D6">
            <w:pPr>
              <w:spacing w:line="360" w:lineRule="auto"/>
              <w:jc w:val="center"/>
              <w:rPr>
                <w:rFonts w:ascii="宋体" w:hAnsi="宋体" w:cs="宋体"/>
                <w:kern w:val="0"/>
                <w:szCs w:val="24"/>
              </w:rPr>
            </w:pPr>
            <w:r>
              <w:rPr>
                <w:rFonts w:hint="eastAsia" w:ascii="宋体" w:hAnsi="宋体" w:cs="宋体"/>
                <w:kern w:val="0"/>
                <w:szCs w:val="24"/>
              </w:rPr>
              <w:t>自合同签订起壹年</w:t>
            </w:r>
          </w:p>
        </w:tc>
      </w:tr>
      <w:tr w14:paraId="76B13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14:paraId="145FCEBC">
            <w:pPr>
              <w:spacing w:line="360" w:lineRule="auto"/>
              <w:jc w:val="center"/>
              <w:rPr>
                <w:rFonts w:ascii="宋体" w:hAnsi="宋体"/>
                <w:szCs w:val="24"/>
              </w:rPr>
            </w:pPr>
            <w:r>
              <w:rPr>
                <w:rFonts w:hint="eastAsia" w:ascii="宋体" w:hAnsi="宋体" w:cs="宋体"/>
                <w:kern w:val="0"/>
                <w:szCs w:val="24"/>
              </w:rPr>
              <w:t>2</w:t>
            </w:r>
          </w:p>
        </w:tc>
        <w:tc>
          <w:tcPr>
            <w:tcW w:w="1334" w:type="dxa"/>
            <w:tcBorders>
              <w:top w:val="single" w:color="auto" w:sz="4" w:space="0"/>
              <w:left w:val="single" w:color="auto" w:sz="4" w:space="0"/>
              <w:bottom w:val="single" w:color="auto" w:sz="4" w:space="0"/>
              <w:right w:val="single" w:color="auto" w:sz="4" w:space="0"/>
            </w:tcBorders>
            <w:shd w:val="clear" w:color="auto" w:fill="auto"/>
            <w:vAlign w:val="center"/>
          </w:tcPr>
          <w:p w14:paraId="05F1350A">
            <w:pPr>
              <w:spacing w:line="360" w:lineRule="auto"/>
              <w:jc w:val="center"/>
              <w:rPr>
                <w:rFonts w:ascii="宋体" w:hAnsi="宋体" w:cs="宋体"/>
                <w:kern w:val="0"/>
                <w:szCs w:val="24"/>
              </w:rPr>
            </w:pPr>
            <w:r>
              <w:rPr>
                <w:rFonts w:hint="eastAsia" w:ascii="宋体" w:hAnsi="宋体" w:cs="宋体"/>
                <w:b/>
                <w:kern w:val="0"/>
                <w:szCs w:val="24"/>
              </w:rPr>
              <w:t>uWS-CT</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7E127ADF">
            <w:pPr>
              <w:spacing w:line="360" w:lineRule="auto"/>
              <w:jc w:val="center"/>
              <w:rPr>
                <w:rFonts w:ascii="宋体" w:hAnsi="宋体" w:cs="宋体"/>
                <w:kern w:val="0"/>
                <w:szCs w:val="24"/>
              </w:rPr>
            </w:pPr>
            <w:r>
              <w:rPr>
                <w:rFonts w:hint="eastAsia" w:ascii="宋体" w:hAnsi="宋体" w:cs="宋体"/>
                <w:b/>
                <w:kern w:val="0"/>
                <w:szCs w:val="24"/>
              </w:rPr>
              <w:t>102525</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14:paraId="251802D9">
            <w:pPr>
              <w:spacing w:line="360" w:lineRule="auto"/>
              <w:jc w:val="center"/>
              <w:rPr>
                <w:rFonts w:ascii="宋体" w:hAnsi="宋体" w:cs="宋体"/>
                <w:kern w:val="0"/>
                <w:szCs w:val="24"/>
              </w:rPr>
            </w:pPr>
            <w:r>
              <w:rPr>
                <w:rFonts w:hint="eastAsia" w:ascii="宋体" w:hAnsi="宋体" w:cs="宋体"/>
                <w:kern w:val="0"/>
                <w:szCs w:val="24"/>
              </w:rPr>
              <w:t>台</w:t>
            </w: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73340DAD">
            <w:pPr>
              <w:spacing w:line="360" w:lineRule="auto"/>
              <w:jc w:val="center"/>
              <w:rPr>
                <w:rFonts w:ascii="宋体" w:hAnsi="宋体" w:cs="宋体"/>
                <w:kern w:val="0"/>
                <w:szCs w:val="24"/>
              </w:rPr>
            </w:pPr>
            <w:r>
              <w:rPr>
                <w:rFonts w:hint="eastAsia" w:ascii="宋体" w:hAnsi="宋体" w:cs="宋体"/>
                <w:kern w:val="0"/>
                <w:szCs w:val="24"/>
              </w:rPr>
              <w:t>1</w:t>
            </w:r>
          </w:p>
        </w:tc>
        <w:tc>
          <w:tcPr>
            <w:tcW w:w="2555" w:type="dxa"/>
            <w:tcBorders>
              <w:top w:val="single" w:color="auto" w:sz="4" w:space="0"/>
              <w:left w:val="single" w:color="auto" w:sz="4" w:space="0"/>
              <w:bottom w:val="single" w:color="auto" w:sz="4" w:space="0"/>
              <w:right w:val="single" w:color="auto" w:sz="4" w:space="0"/>
            </w:tcBorders>
            <w:shd w:val="clear" w:color="auto" w:fill="auto"/>
            <w:vAlign w:val="center"/>
          </w:tcPr>
          <w:p w14:paraId="0CE85A61">
            <w:pPr>
              <w:spacing w:line="360" w:lineRule="auto"/>
              <w:jc w:val="center"/>
              <w:rPr>
                <w:rFonts w:ascii="宋体" w:hAnsi="宋体" w:cs="宋体"/>
                <w:kern w:val="0"/>
                <w:szCs w:val="24"/>
              </w:rPr>
            </w:pPr>
          </w:p>
        </w:tc>
        <w:tc>
          <w:tcPr>
            <w:tcW w:w="12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F0B0986">
            <w:pPr>
              <w:widowControl/>
              <w:spacing w:line="360" w:lineRule="auto"/>
              <w:jc w:val="left"/>
              <w:rPr>
                <w:rFonts w:ascii="宋体" w:hAnsi="宋体" w:cs="宋体"/>
                <w:kern w:val="0"/>
                <w:szCs w:val="24"/>
              </w:rPr>
            </w:pPr>
          </w:p>
        </w:tc>
      </w:tr>
    </w:tbl>
    <w:p w14:paraId="613FB94F">
      <w:pPr>
        <w:spacing w:line="360" w:lineRule="auto"/>
        <w:ind w:firstLine="480"/>
        <w:rPr>
          <w:rFonts w:ascii="宋体" w:hAnsi="宋体"/>
          <w:szCs w:val="24"/>
        </w:rPr>
      </w:pPr>
      <w:r>
        <w:rPr>
          <w:rFonts w:hint="eastAsia" w:ascii="宋体" w:hAnsi="宋体"/>
          <w:szCs w:val="24"/>
        </w:rPr>
        <w:t>人民币含税全包价，包括所有服务费、人工费、零配件费、交通费、食宿费、税费等一切费用。</w:t>
      </w:r>
    </w:p>
    <w:p w14:paraId="08D74D83">
      <w:pPr>
        <w:pStyle w:val="3"/>
        <w:spacing w:line="360" w:lineRule="auto"/>
        <w:rPr>
          <w:rFonts w:ascii="宋体" w:hAnsi="宋体" w:eastAsia="宋体"/>
          <w:sz w:val="24"/>
          <w:szCs w:val="24"/>
        </w:rPr>
      </w:pPr>
      <w:r>
        <w:rPr>
          <w:rFonts w:hint="eastAsia" w:ascii="宋体" w:hAnsi="宋体" w:eastAsia="宋体"/>
          <w:sz w:val="24"/>
          <w:szCs w:val="24"/>
        </w:rPr>
        <w:t>2、售后服务及其他要求</w:t>
      </w:r>
    </w:p>
    <w:p w14:paraId="3799EE13">
      <w:pPr>
        <w:spacing w:line="360" w:lineRule="auto"/>
        <w:ind w:firstLine="480"/>
        <w:rPr>
          <w:rFonts w:ascii="宋体" w:hAnsi="宋体"/>
          <w:szCs w:val="24"/>
        </w:rPr>
      </w:pPr>
      <w:r>
        <w:rPr>
          <w:rFonts w:hint="eastAsia" w:ascii="宋体" w:hAnsi="宋体"/>
          <w:szCs w:val="24"/>
        </w:rPr>
        <w:t>▲2.1维保期内不限次现场人工及无限次常用备件更换（不包含管球、探测器、高压发生器），医学影像处理（uWS-CT）工作站备件维修及更换。所更换配件原则上必须是原厂认证的合格配件。</w:t>
      </w:r>
    </w:p>
    <w:p w14:paraId="264DA999">
      <w:pPr>
        <w:spacing w:line="360" w:lineRule="auto"/>
        <w:ind w:firstLine="480"/>
        <w:rPr>
          <w:rFonts w:ascii="宋体" w:hAnsi="宋体"/>
          <w:szCs w:val="24"/>
        </w:rPr>
      </w:pPr>
      <w:r>
        <w:rPr>
          <w:rFonts w:hint="eastAsia" w:ascii="宋体" w:hAnsi="宋体"/>
          <w:szCs w:val="24"/>
        </w:rPr>
        <w:t>2.2提供24小时*365天电话技术支持。</w:t>
      </w:r>
    </w:p>
    <w:p w14:paraId="7C74C6F3">
      <w:pPr>
        <w:spacing w:line="360" w:lineRule="auto"/>
        <w:ind w:firstLine="480"/>
        <w:rPr>
          <w:rFonts w:ascii="宋体" w:hAnsi="宋体"/>
          <w:szCs w:val="24"/>
        </w:rPr>
      </w:pPr>
      <w:r>
        <w:rPr>
          <w:rFonts w:hint="eastAsia" w:ascii="宋体" w:hAnsi="宋体"/>
          <w:szCs w:val="24"/>
        </w:rPr>
        <w:t>2.3定期维护保养及开机率保障，开机率≥95％。（按每年365日历日计算，未达到天数按1:2比例顺延保修期）</w:t>
      </w:r>
    </w:p>
    <w:p w14:paraId="41A88F80">
      <w:pPr>
        <w:spacing w:line="360" w:lineRule="auto"/>
        <w:ind w:firstLine="480"/>
        <w:rPr>
          <w:rFonts w:ascii="宋体" w:hAnsi="宋体"/>
          <w:szCs w:val="24"/>
        </w:rPr>
      </w:pPr>
      <w:r>
        <w:rPr>
          <w:rFonts w:hint="eastAsia" w:ascii="宋体" w:hAnsi="宋体"/>
          <w:szCs w:val="24"/>
        </w:rPr>
        <w:t>2.4提供每年2次整机专业保养，按照保养计划更换损耗部件及耗材，按照厂家标准进行调校，确认各项技术指标及性能。</w:t>
      </w:r>
    </w:p>
    <w:p w14:paraId="7DE8133D">
      <w:pPr>
        <w:spacing w:line="360" w:lineRule="auto"/>
        <w:ind w:firstLine="480"/>
        <w:rPr>
          <w:rFonts w:ascii="宋体" w:hAnsi="宋体"/>
          <w:szCs w:val="24"/>
        </w:rPr>
      </w:pPr>
      <w:r>
        <w:rPr>
          <w:rFonts w:hint="eastAsia" w:ascii="宋体" w:hAnsi="宋体"/>
          <w:szCs w:val="24"/>
        </w:rPr>
        <w:t>2.5其他所有整机紧急上门服务。</w:t>
      </w:r>
    </w:p>
    <w:p w14:paraId="3B9C920E">
      <w:pPr>
        <w:spacing w:line="360" w:lineRule="auto"/>
        <w:ind w:firstLine="480"/>
        <w:rPr>
          <w:rFonts w:ascii="宋体" w:hAnsi="宋体"/>
          <w:szCs w:val="24"/>
        </w:rPr>
      </w:pPr>
      <w:r>
        <w:rPr>
          <w:rFonts w:hint="eastAsia" w:ascii="宋体" w:hAnsi="宋体"/>
          <w:szCs w:val="24"/>
        </w:rPr>
        <w:t>2.6维保期内提供免费安全检查、质量保证、安全升级。</w:t>
      </w:r>
    </w:p>
    <w:p w14:paraId="64AA6D97">
      <w:pPr>
        <w:spacing w:line="360" w:lineRule="auto"/>
        <w:ind w:firstLine="482"/>
        <w:rPr>
          <w:rFonts w:ascii="宋体" w:hAnsi="宋体"/>
          <w:szCs w:val="24"/>
        </w:rPr>
      </w:pPr>
      <w:r>
        <w:rPr>
          <w:rFonts w:hint="eastAsia" w:ascii="宋体" w:hAnsi="宋体"/>
          <w:szCs w:val="24"/>
        </w:rPr>
        <w:t>3.维保要求</w:t>
      </w:r>
    </w:p>
    <w:p w14:paraId="03742B5D">
      <w:pPr>
        <w:spacing w:line="360" w:lineRule="auto"/>
        <w:ind w:firstLine="480"/>
        <w:rPr>
          <w:rFonts w:ascii="宋体" w:hAnsi="宋体"/>
          <w:szCs w:val="24"/>
        </w:rPr>
      </w:pPr>
      <w:r>
        <w:rPr>
          <w:rFonts w:hint="eastAsia" w:ascii="宋体" w:hAnsi="宋体"/>
          <w:szCs w:val="24"/>
        </w:rPr>
        <w:t>▲3.1响应供应商须具备快速反应、专业的服务能力，设有长期稳定的服务机构或仓库（提供相关证明材料）。</w:t>
      </w:r>
    </w:p>
    <w:p w14:paraId="1EC66938">
      <w:pPr>
        <w:spacing w:line="360" w:lineRule="auto"/>
        <w:ind w:firstLine="480"/>
        <w:rPr>
          <w:rFonts w:ascii="宋体" w:hAnsi="宋体"/>
          <w:szCs w:val="24"/>
        </w:rPr>
      </w:pPr>
      <w:r>
        <w:rPr>
          <w:rFonts w:hint="eastAsia" w:ascii="宋体" w:hAnsi="宋体"/>
          <w:szCs w:val="24"/>
        </w:rPr>
        <w:t>3.2提供24小时热线服务电话在线响应。接到报修电话后，工程师10分钟内电话响应。紧急故障若电话交流无法解决，则在接获报修电话后工程师12小时内到达现场。</w:t>
      </w:r>
    </w:p>
    <w:p w14:paraId="7F96C0EE">
      <w:pPr>
        <w:spacing w:line="360" w:lineRule="auto"/>
        <w:ind w:firstLine="480"/>
        <w:rPr>
          <w:rFonts w:ascii="宋体" w:hAnsi="宋体"/>
          <w:szCs w:val="24"/>
        </w:rPr>
      </w:pPr>
      <w:r>
        <w:rPr>
          <w:rFonts w:hint="eastAsia" w:ascii="宋体" w:hAnsi="宋体"/>
          <w:szCs w:val="24"/>
        </w:rPr>
        <w:t>3.3预防性保养：按照保养计划提供保养服务，以保证设备处于最佳运行状态。合同期内每年提供两次专业保养，按照保养计划更换损耗部件及耗材，按照厂家标准进行调校，确认各项技术指标及性能，记录设备状况，并提交维护保养报告。</w:t>
      </w:r>
    </w:p>
    <w:p w14:paraId="5ED9F725">
      <w:pPr>
        <w:spacing w:line="360" w:lineRule="auto"/>
        <w:ind w:firstLine="480"/>
        <w:rPr>
          <w:rFonts w:ascii="宋体" w:hAnsi="宋体"/>
          <w:szCs w:val="24"/>
        </w:rPr>
      </w:pPr>
      <w:r>
        <w:rPr>
          <w:rFonts w:hint="eastAsia" w:ascii="宋体" w:hAnsi="宋体"/>
          <w:szCs w:val="24"/>
        </w:rPr>
        <w:t>▲3.4要求响应供应商至少指定5名原厂工程师或持有厂家培训或相关能力培训合格的服务证明的工程师负责本项目。（提供相关证明材料）</w:t>
      </w:r>
    </w:p>
    <w:p w14:paraId="419610B9">
      <w:pPr>
        <w:spacing w:line="360" w:lineRule="auto"/>
        <w:ind w:firstLine="480"/>
        <w:rPr>
          <w:rFonts w:ascii="宋体" w:hAnsi="宋体"/>
          <w:szCs w:val="24"/>
        </w:rPr>
      </w:pPr>
      <w:r>
        <w:rPr>
          <w:rFonts w:hint="eastAsia" w:ascii="宋体" w:hAnsi="宋体"/>
          <w:szCs w:val="24"/>
        </w:rPr>
        <w:t>▲3.5维修所采用的全部备件，均可出示原厂检测合格证书及合法进口的报关单，所有备件均可根据唯一序列号追踪所属。</w:t>
      </w:r>
    </w:p>
    <w:p w14:paraId="5DA3DE5F">
      <w:pPr>
        <w:spacing w:line="360" w:lineRule="auto"/>
        <w:ind w:firstLine="480"/>
        <w:rPr>
          <w:rFonts w:ascii="宋体" w:hAnsi="宋体"/>
          <w:szCs w:val="24"/>
        </w:rPr>
      </w:pPr>
      <w:r>
        <w:rPr>
          <w:rFonts w:hint="eastAsia" w:ascii="宋体" w:hAnsi="宋体"/>
          <w:szCs w:val="24"/>
        </w:rPr>
        <w:t>3.6维修工程师可使用全套原厂诊断软件，并保证能够解决所有需要原厂密钥才能解决的设备故障。保证维修过程不侵犯任何知识产权。</w:t>
      </w:r>
    </w:p>
    <w:p w14:paraId="0DBD601C">
      <w:pPr>
        <w:pStyle w:val="3"/>
        <w:spacing w:line="360" w:lineRule="auto"/>
        <w:rPr>
          <w:rFonts w:ascii="宋体" w:hAnsi="宋体" w:eastAsia="宋体"/>
          <w:sz w:val="24"/>
          <w:szCs w:val="24"/>
        </w:rPr>
      </w:pPr>
      <w:r>
        <w:rPr>
          <w:rFonts w:hint="eastAsia" w:ascii="宋体" w:hAnsi="宋体" w:eastAsia="宋体"/>
          <w:sz w:val="24"/>
          <w:szCs w:val="24"/>
        </w:rPr>
        <w:t>3、</w:t>
      </w:r>
      <w:r>
        <w:rPr>
          <w:rFonts w:hint="eastAsia" w:ascii="宋体" w:hAnsi="宋体" w:eastAsia="宋体"/>
          <w:kern w:val="0"/>
          <w:sz w:val="24"/>
          <w:szCs w:val="24"/>
        </w:rPr>
        <w:t>验</w:t>
      </w:r>
      <w:r>
        <w:rPr>
          <w:rFonts w:hint="eastAsia" w:ascii="宋体" w:hAnsi="宋体" w:eastAsia="宋体"/>
          <w:sz w:val="24"/>
          <w:szCs w:val="24"/>
        </w:rPr>
        <w:t>收标准</w:t>
      </w:r>
    </w:p>
    <w:p w14:paraId="481E52B1">
      <w:pPr>
        <w:widowControl/>
        <w:spacing w:line="360" w:lineRule="auto"/>
        <w:jc w:val="left"/>
        <w:rPr>
          <w:rFonts w:ascii="宋体" w:hAnsi="宋体"/>
          <w:szCs w:val="24"/>
        </w:rPr>
      </w:pPr>
      <w:r>
        <w:rPr>
          <w:rFonts w:hint="eastAsia" w:ascii="宋体" w:hAnsi="宋体"/>
          <w:szCs w:val="24"/>
        </w:rPr>
        <w:t>符合中华人民共和国国家和履约地相关行业技术规范标准、安全质量标准。</w:t>
      </w:r>
    </w:p>
    <w:p w14:paraId="7F755A8E">
      <w:pPr>
        <w:pStyle w:val="3"/>
        <w:numPr>
          <w:ilvl w:val="0"/>
          <w:numId w:val="2"/>
        </w:numPr>
        <w:spacing w:line="360" w:lineRule="auto"/>
        <w:rPr>
          <w:rFonts w:ascii="宋体" w:hAnsi="宋体" w:eastAsia="宋体"/>
          <w:sz w:val="24"/>
          <w:szCs w:val="24"/>
        </w:rPr>
      </w:pPr>
      <w:r>
        <w:rPr>
          <w:rFonts w:hint="eastAsia" w:ascii="宋体" w:hAnsi="宋体" w:eastAsia="宋体"/>
          <w:sz w:val="24"/>
          <w:szCs w:val="24"/>
        </w:rPr>
        <w:t>付款方式</w:t>
      </w:r>
    </w:p>
    <w:p w14:paraId="4A7C0F81">
      <w:pPr>
        <w:widowControl/>
        <w:spacing w:line="360" w:lineRule="auto"/>
        <w:jc w:val="left"/>
        <w:rPr>
          <w:rFonts w:ascii="宋体" w:hAnsi="宋体"/>
          <w:szCs w:val="24"/>
        </w:rPr>
      </w:pPr>
      <w:r>
        <w:rPr>
          <w:rFonts w:hint="eastAsia" w:ascii="宋体" w:hAnsi="宋体"/>
          <w:szCs w:val="24"/>
        </w:rPr>
        <w:t>合同签订之日起10日内，成交供应商向采购人开具合法有效的等额增值税发票。采购人收到成交供应商发票后五个工作日内向成交供应商支付本合同50%的服务费。合同签署后满4个月后的10日内，成交供应商向采购人开具合法有效的等额增值税发票，采购人收到成交供应商发票后五个工作日内向成交供应商支付本合同剩余50%的服务费</w:t>
      </w:r>
    </w:p>
    <w:p w14:paraId="3DA832C9">
      <w:pPr>
        <w:widowControl/>
        <w:spacing w:line="360" w:lineRule="auto"/>
        <w:jc w:val="left"/>
        <w:rPr>
          <w:rFonts w:ascii="宋体" w:hAnsi="宋体"/>
          <w:szCs w:val="24"/>
        </w:rPr>
        <w:sectPr>
          <w:pgSz w:w="11906" w:h="16838"/>
          <w:pgMar w:top="1440" w:right="1800" w:bottom="1440" w:left="1800" w:header="851" w:footer="992" w:gutter="0"/>
          <w:cols w:space="720" w:num="1"/>
          <w:docGrid w:type="lines" w:linePitch="312" w:charSpace="0"/>
        </w:sectPr>
      </w:pPr>
      <w:r>
        <w:rPr>
          <w:rFonts w:hint="eastAsia" w:ascii="宋体" w:hAnsi="宋体"/>
          <w:szCs w:val="24"/>
        </w:rPr>
        <w:t>3.2如采购人使用的是财政资金，采购人在前款规定的付款时间为向上级主管部门提出办理财政支付申请手续的时间（不含政府财政支付部门审核的时间），在规定时间内提出支付申请手续后即视为采购人已经按期支付。如因成交供应商迟延提供发票及请款资料等原因导致采购人在本合同约定的期限范围内未能办理申请支付手续，采购人办理申请支付手续的期限相应顺延，且无需承担任何违约责任。因采购人年度支出预算不足无法足额支付当期服务费的，则应顺延到下一财年完成该期剩余款的支付，由于财政资金拨款不到位而导致采购人逾期付款的，采购人不承担违约责任，成交供应商不因上述原因拒绝为采购人提供服务。</w:t>
      </w:r>
    </w:p>
    <w:p w14:paraId="49ADDC4E">
      <w:pPr>
        <w:jc w:val="center"/>
        <w:outlineLvl w:val="0"/>
        <w:rPr>
          <w:rFonts w:ascii="宋体" w:hAnsi="宋体"/>
          <w:b/>
          <w:sz w:val="30"/>
        </w:rPr>
      </w:pPr>
      <w:r>
        <w:rPr>
          <w:rFonts w:hint="eastAsia" w:ascii="宋体" w:hAnsi="宋体"/>
          <w:b/>
          <w:sz w:val="30"/>
        </w:rPr>
        <w:t>第三章 合同格式</w:t>
      </w:r>
    </w:p>
    <w:p w14:paraId="4AFA89EC">
      <w:pPr>
        <w:tabs>
          <w:tab w:val="left" w:pos="840"/>
        </w:tabs>
        <w:spacing w:line="360" w:lineRule="auto"/>
        <w:jc w:val="center"/>
        <w:rPr>
          <w:rFonts w:ascii="宋体" w:hAnsi="宋体"/>
          <w:bCs/>
          <w:szCs w:val="24"/>
        </w:rPr>
      </w:pPr>
      <w:r>
        <w:rPr>
          <w:rFonts w:hint="eastAsia" w:ascii="宋体" w:hAnsi="宋体"/>
          <w:bCs/>
          <w:szCs w:val="24"/>
        </w:rPr>
        <w:t xml:space="preserve">维修保养服务合同   </w:t>
      </w:r>
    </w:p>
    <w:p w14:paraId="44DA77B5">
      <w:pPr>
        <w:spacing w:line="360" w:lineRule="auto"/>
        <w:rPr>
          <w:rFonts w:ascii="宋体" w:hAnsi="宋体" w:cs="Arial"/>
          <w:bCs/>
          <w:szCs w:val="24"/>
        </w:rPr>
      </w:pPr>
      <w:r>
        <w:rPr>
          <w:rFonts w:hint="eastAsia" w:ascii="宋体" w:hAnsi="宋体" w:cs="Arial"/>
          <w:bCs/>
          <w:szCs w:val="24"/>
        </w:rPr>
        <w:t>甲方（采购人）：</w:t>
      </w:r>
    </w:p>
    <w:p w14:paraId="670B3982">
      <w:pPr>
        <w:spacing w:line="360" w:lineRule="auto"/>
        <w:rPr>
          <w:rFonts w:ascii="宋体" w:hAnsi="宋体" w:cs="Arial"/>
          <w:bCs/>
          <w:szCs w:val="24"/>
        </w:rPr>
      </w:pPr>
      <w:r>
        <w:rPr>
          <w:rFonts w:hint="eastAsia" w:ascii="宋体" w:hAnsi="宋体" w:cs="Arial"/>
          <w:bCs/>
          <w:szCs w:val="24"/>
        </w:rPr>
        <w:t>乙方（中标人）：</w:t>
      </w:r>
    </w:p>
    <w:p w14:paraId="2E5C02A9">
      <w:pPr>
        <w:spacing w:line="360" w:lineRule="auto"/>
        <w:ind w:firstLine="420" w:firstLineChars="200"/>
        <w:rPr>
          <w:rFonts w:ascii="宋体" w:hAnsi="宋体" w:cs="Arial"/>
          <w:bCs/>
          <w:kern w:val="0"/>
          <w:szCs w:val="24"/>
        </w:rPr>
      </w:pPr>
      <w:r>
        <w:rPr>
          <w:rFonts w:hint="eastAsia" w:ascii="宋体" w:hAnsi="宋体" w:cs="Arial"/>
          <w:bCs/>
          <w:szCs w:val="24"/>
        </w:rPr>
        <w:t>根据《中华人民共和国民法典》及广州市政府采购中心“</w:t>
      </w:r>
      <w:r>
        <w:rPr>
          <w:rFonts w:hint="eastAsia" w:ascii="宋体" w:hAnsi="宋体"/>
          <w:bCs/>
          <w:szCs w:val="24"/>
        </w:rPr>
        <w:t>&lt;</w:t>
      </w:r>
      <w:r>
        <w:rPr>
          <w:rFonts w:hint="eastAsia" w:ascii="宋体" w:hAnsi="宋体"/>
          <w:bCs/>
          <w:color w:val="0000FF"/>
          <w:szCs w:val="24"/>
        </w:rPr>
        <w:t>#项目名称#&gt;</w:t>
      </w:r>
      <w:r>
        <w:rPr>
          <w:rFonts w:hint="eastAsia" w:ascii="宋体" w:hAnsi="宋体"/>
          <w:bCs/>
          <w:szCs w:val="24"/>
        </w:rPr>
        <w:t>”</w:t>
      </w:r>
      <w:r>
        <w:rPr>
          <w:rFonts w:hint="eastAsia" w:ascii="宋体" w:hAnsi="宋体" w:cs="Arial"/>
          <w:bCs/>
          <w:szCs w:val="24"/>
        </w:rPr>
        <w:t>（项目编号：</w:t>
      </w:r>
      <w:r>
        <w:rPr>
          <w:rFonts w:hint="eastAsia" w:ascii="宋体" w:hAnsi="宋体"/>
          <w:bCs/>
          <w:color w:val="0000FF"/>
          <w:szCs w:val="24"/>
        </w:rPr>
        <w:t>&lt;#项目编号#&gt;</w:t>
      </w:r>
      <w:r>
        <w:rPr>
          <w:rFonts w:hint="eastAsia" w:ascii="宋体" w:hAnsi="宋体" w:cs="Arial"/>
          <w:bCs/>
          <w:szCs w:val="24"/>
        </w:rPr>
        <w:t>）磋商文件的要求和招标结果，经甲乙双方协商一致，签订本合同。双方共同遵守如下条款（技术说明及其他有关合同项目的特定信息由合同附件予以说明，合同附件及本项目的磋商文件、响应文件等均为本合同不可分割之一部分）：</w:t>
      </w:r>
    </w:p>
    <w:p w14:paraId="483EEE6F">
      <w:pPr>
        <w:tabs>
          <w:tab w:val="left" w:pos="840"/>
          <w:tab w:val="left" w:pos="1260"/>
          <w:tab w:val="left" w:pos="1440"/>
        </w:tabs>
        <w:spacing w:line="360" w:lineRule="auto"/>
        <w:rPr>
          <w:rFonts w:ascii="宋体" w:hAnsi="宋体"/>
          <w:bCs/>
          <w:szCs w:val="24"/>
        </w:rPr>
      </w:pPr>
      <w:r>
        <w:rPr>
          <w:rFonts w:hint="eastAsia" w:ascii="宋体" w:hAnsi="宋体"/>
          <w:bCs/>
          <w:szCs w:val="24"/>
        </w:rPr>
        <w:t>1. 维保服务所保设备及合同期限</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1920"/>
        <w:gridCol w:w="990"/>
        <w:gridCol w:w="1545"/>
        <w:gridCol w:w="2685"/>
        <w:gridCol w:w="1515"/>
      </w:tblGrid>
      <w:tr w14:paraId="51454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4" w:type="dxa"/>
            <w:tcBorders>
              <w:top w:val="single" w:color="auto" w:sz="4" w:space="0"/>
              <w:left w:val="single" w:color="auto" w:sz="4" w:space="0"/>
              <w:bottom w:val="single" w:color="auto" w:sz="4" w:space="0"/>
              <w:right w:val="single" w:color="auto" w:sz="4" w:space="0"/>
            </w:tcBorders>
            <w:shd w:val="clear" w:color="auto" w:fill="auto"/>
            <w:vAlign w:val="center"/>
          </w:tcPr>
          <w:p w14:paraId="4A8D5588">
            <w:pPr>
              <w:widowControl/>
              <w:tabs>
                <w:tab w:val="left" w:pos="840"/>
                <w:tab w:val="left" w:pos="1260"/>
                <w:tab w:val="left" w:pos="1440"/>
              </w:tabs>
              <w:spacing w:line="360" w:lineRule="auto"/>
              <w:jc w:val="center"/>
              <w:rPr>
                <w:rFonts w:ascii="宋体" w:hAnsi="宋体" w:cs="宋体"/>
                <w:bCs/>
                <w:kern w:val="0"/>
                <w:szCs w:val="24"/>
              </w:rPr>
            </w:pPr>
            <w:r>
              <w:rPr>
                <w:rFonts w:hint="eastAsia" w:ascii="宋体" w:hAnsi="宋体" w:cs="宋体"/>
                <w:bCs/>
                <w:kern w:val="0"/>
                <w:szCs w:val="24"/>
              </w:rPr>
              <w:t>序号</w:t>
            </w:r>
          </w:p>
        </w:tc>
        <w:tc>
          <w:tcPr>
            <w:tcW w:w="1920" w:type="dxa"/>
            <w:tcBorders>
              <w:top w:val="single" w:color="auto" w:sz="4" w:space="0"/>
              <w:left w:val="single" w:color="auto" w:sz="4" w:space="0"/>
              <w:bottom w:val="single" w:color="auto" w:sz="4" w:space="0"/>
              <w:right w:val="single" w:color="auto" w:sz="4" w:space="0"/>
            </w:tcBorders>
            <w:shd w:val="clear" w:color="auto" w:fill="auto"/>
            <w:vAlign w:val="center"/>
          </w:tcPr>
          <w:p w14:paraId="297B55A2">
            <w:pPr>
              <w:widowControl/>
              <w:tabs>
                <w:tab w:val="left" w:pos="840"/>
                <w:tab w:val="left" w:pos="1260"/>
                <w:tab w:val="left" w:pos="1440"/>
              </w:tabs>
              <w:spacing w:line="360" w:lineRule="auto"/>
              <w:jc w:val="center"/>
              <w:rPr>
                <w:rFonts w:ascii="宋体" w:hAnsi="宋体" w:cs="宋体"/>
                <w:bCs/>
                <w:kern w:val="0"/>
                <w:szCs w:val="24"/>
              </w:rPr>
            </w:pPr>
            <w:r>
              <w:rPr>
                <w:rFonts w:hint="eastAsia" w:ascii="宋体" w:hAnsi="宋体" w:cs="宋体"/>
                <w:bCs/>
                <w:kern w:val="0"/>
                <w:szCs w:val="24"/>
              </w:rPr>
              <w:t>设备名称</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14:paraId="39AE7F98">
            <w:pPr>
              <w:widowControl/>
              <w:tabs>
                <w:tab w:val="left" w:pos="840"/>
                <w:tab w:val="left" w:pos="1260"/>
                <w:tab w:val="left" w:pos="1440"/>
              </w:tabs>
              <w:spacing w:line="360" w:lineRule="auto"/>
              <w:jc w:val="center"/>
              <w:rPr>
                <w:rFonts w:ascii="宋体" w:hAnsi="宋体" w:cs="宋体"/>
                <w:bCs/>
                <w:kern w:val="0"/>
                <w:szCs w:val="24"/>
              </w:rPr>
            </w:pPr>
            <w:r>
              <w:rPr>
                <w:rFonts w:hint="eastAsia" w:ascii="宋体" w:hAnsi="宋体" w:cs="宋体"/>
                <w:bCs/>
                <w:kern w:val="0"/>
                <w:szCs w:val="24"/>
              </w:rPr>
              <w:t>序列号</w:t>
            </w: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14:paraId="4A560C8C">
            <w:pPr>
              <w:widowControl/>
              <w:tabs>
                <w:tab w:val="left" w:pos="840"/>
                <w:tab w:val="left" w:pos="1260"/>
                <w:tab w:val="left" w:pos="1440"/>
              </w:tabs>
              <w:spacing w:line="360" w:lineRule="auto"/>
              <w:jc w:val="center"/>
              <w:rPr>
                <w:rFonts w:ascii="宋体" w:hAnsi="宋体" w:cs="宋体"/>
                <w:bCs/>
                <w:kern w:val="0"/>
                <w:szCs w:val="24"/>
              </w:rPr>
            </w:pPr>
            <w:r>
              <w:rPr>
                <w:rFonts w:hint="eastAsia" w:ascii="宋体" w:hAnsi="宋体" w:cs="宋体"/>
                <w:bCs/>
                <w:kern w:val="0"/>
                <w:szCs w:val="24"/>
              </w:rPr>
              <w:t>维保开始日期</w:t>
            </w:r>
          </w:p>
        </w:tc>
        <w:tc>
          <w:tcPr>
            <w:tcW w:w="2685" w:type="dxa"/>
            <w:tcBorders>
              <w:top w:val="single" w:color="auto" w:sz="4" w:space="0"/>
              <w:left w:val="single" w:color="auto" w:sz="4" w:space="0"/>
              <w:bottom w:val="single" w:color="auto" w:sz="4" w:space="0"/>
              <w:right w:val="single" w:color="auto" w:sz="4" w:space="0"/>
            </w:tcBorders>
            <w:shd w:val="clear" w:color="auto" w:fill="auto"/>
            <w:vAlign w:val="center"/>
          </w:tcPr>
          <w:p w14:paraId="7CA4D2A6">
            <w:pPr>
              <w:widowControl/>
              <w:tabs>
                <w:tab w:val="left" w:pos="840"/>
                <w:tab w:val="left" w:pos="1260"/>
                <w:tab w:val="left" w:pos="1440"/>
              </w:tabs>
              <w:spacing w:line="360" w:lineRule="auto"/>
              <w:jc w:val="center"/>
              <w:rPr>
                <w:rFonts w:ascii="宋体" w:hAnsi="宋体" w:cs="宋体"/>
                <w:bCs/>
                <w:kern w:val="0"/>
                <w:szCs w:val="24"/>
              </w:rPr>
            </w:pPr>
            <w:r>
              <w:rPr>
                <w:rFonts w:hint="eastAsia" w:ascii="宋体" w:hAnsi="宋体" w:cs="宋体"/>
                <w:bCs/>
                <w:kern w:val="0"/>
                <w:szCs w:val="24"/>
              </w:rPr>
              <w:t>维保结束日期</w:t>
            </w:r>
          </w:p>
        </w:tc>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14:paraId="7A3FEDDA">
            <w:pPr>
              <w:widowControl/>
              <w:tabs>
                <w:tab w:val="left" w:pos="840"/>
                <w:tab w:val="left" w:pos="1260"/>
                <w:tab w:val="left" w:pos="1440"/>
              </w:tabs>
              <w:spacing w:line="360" w:lineRule="auto"/>
              <w:jc w:val="center"/>
              <w:rPr>
                <w:rFonts w:ascii="宋体" w:hAnsi="宋体" w:cs="宋体"/>
                <w:bCs/>
                <w:kern w:val="0"/>
                <w:szCs w:val="24"/>
              </w:rPr>
            </w:pPr>
            <w:r>
              <w:rPr>
                <w:rFonts w:hint="eastAsia" w:ascii="宋体" w:hAnsi="宋体" w:cs="宋体"/>
                <w:bCs/>
                <w:kern w:val="0"/>
                <w:szCs w:val="24"/>
              </w:rPr>
              <w:t>维保合同总价</w:t>
            </w:r>
          </w:p>
          <w:p w14:paraId="03183782">
            <w:pPr>
              <w:widowControl/>
              <w:tabs>
                <w:tab w:val="left" w:pos="840"/>
                <w:tab w:val="left" w:pos="1260"/>
                <w:tab w:val="left" w:pos="1440"/>
              </w:tabs>
              <w:spacing w:line="360" w:lineRule="auto"/>
              <w:jc w:val="center"/>
              <w:rPr>
                <w:rFonts w:ascii="宋体" w:hAnsi="宋体" w:cs="宋体"/>
                <w:bCs/>
                <w:kern w:val="0"/>
                <w:szCs w:val="24"/>
              </w:rPr>
            </w:pPr>
            <w:r>
              <w:rPr>
                <w:rFonts w:hint="eastAsia" w:ascii="宋体" w:hAnsi="宋体" w:cs="宋体"/>
                <w:bCs/>
                <w:kern w:val="0"/>
                <w:szCs w:val="24"/>
              </w:rPr>
              <w:t>（人民币）</w:t>
            </w:r>
          </w:p>
        </w:tc>
      </w:tr>
      <w:tr w14:paraId="03759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4" w:type="dxa"/>
            <w:tcBorders>
              <w:top w:val="single" w:color="auto" w:sz="4" w:space="0"/>
              <w:left w:val="single" w:color="auto" w:sz="4" w:space="0"/>
              <w:bottom w:val="single" w:color="auto" w:sz="4" w:space="0"/>
              <w:right w:val="single" w:color="auto" w:sz="4" w:space="0"/>
            </w:tcBorders>
            <w:shd w:val="clear" w:color="auto" w:fill="auto"/>
            <w:vAlign w:val="center"/>
          </w:tcPr>
          <w:p w14:paraId="3B208AF0">
            <w:pPr>
              <w:widowControl/>
              <w:tabs>
                <w:tab w:val="left" w:pos="840"/>
                <w:tab w:val="left" w:pos="1260"/>
                <w:tab w:val="left" w:pos="1440"/>
              </w:tabs>
              <w:spacing w:line="360" w:lineRule="auto"/>
              <w:jc w:val="center"/>
              <w:rPr>
                <w:rFonts w:ascii="宋体" w:hAnsi="宋体" w:cs="宋体"/>
                <w:bCs/>
                <w:kern w:val="0"/>
                <w:szCs w:val="24"/>
              </w:rPr>
            </w:pPr>
            <w:r>
              <w:rPr>
                <w:rFonts w:hint="eastAsia" w:ascii="宋体" w:hAnsi="宋体" w:cs="宋体"/>
                <w:bCs/>
                <w:kern w:val="0"/>
                <w:szCs w:val="24"/>
              </w:rPr>
              <w:t>1</w:t>
            </w:r>
          </w:p>
        </w:tc>
        <w:tc>
          <w:tcPr>
            <w:tcW w:w="1920" w:type="dxa"/>
            <w:tcBorders>
              <w:top w:val="single" w:color="auto" w:sz="4" w:space="0"/>
              <w:left w:val="single" w:color="auto" w:sz="4" w:space="0"/>
              <w:bottom w:val="single" w:color="auto" w:sz="4" w:space="0"/>
              <w:right w:val="single" w:color="auto" w:sz="4" w:space="0"/>
            </w:tcBorders>
            <w:shd w:val="clear" w:color="auto" w:fill="auto"/>
            <w:vAlign w:val="center"/>
          </w:tcPr>
          <w:p w14:paraId="66268FBB">
            <w:pPr>
              <w:widowControl/>
              <w:tabs>
                <w:tab w:val="left" w:pos="840"/>
                <w:tab w:val="left" w:pos="1260"/>
                <w:tab w:val="left" w:pos="1440"/>
              </w:tabs>
              <w:spacing w:line="360" w:lineRule="auto"/>
              <w:jc w:val="center"/>
              <w:rPr>
                <w:rFonts w:ascii="宋体" w:hAnsi="宋体" w:cs="宋体"/>
                <w:bCs/>
                <w:kern w:val="0"/>
                <w:szCs w:val="24"/>
              </w:rPr>
            </w:pPr>
            <w:r>
              <w:rPr>
                <w:rFonts w:hint="eastAsia" w:ascii="宋体" w:hAnsi="宋体" w:cs="宋体"/>
                <w:bCs/>
                <w:kern w:val="0"/>
                <w:szCs w:val="24"/>
              </w:rPr>
              <w:t>X射线计算机体层摄影设备uCT 530</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14:paraId="35BB3F79">
            <w:pPr>
              <w:widowControl/>
              <w:tabs>
                <w:tab w:val="left" w:pos="840"/>
                <w:tab w:val="left" w:pos="1260"/>
                <w:tab w:val="left" w:pos="1440"/>
              </w:tabs>
              <w:spacing w:line="360" w:lineRule="auto"/>
              <w:jc w:val="center"/>
              <w:rPr>
                <w:rFonts w:ascii="宋体" w:hAnsi="宋体" w:cs="宋体"/>
                <w:bCs/>
                <w:kern w:val="0"/>
                <w:szCs w:val="24"/>
              </w:rPr>
            </w:pPr>
            <w:r>
              <w:rPr>
                <w:rFonts w:hint="eastAsia" w:ascii="宋体" w:hAnsi="宋体" w:cs="宋体"/>
                <w:bCs/>
                <w:kern w:val="0"/>
                <w:szCs w:val="24"/>
              </w:rPr>
              <w:t>306277</w:t>
            </w:r>
          </w:p>
        </w:tc>
        <w:tc>
          <w:tcPr>
            <w:tcW w:w="15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3B7E3B9">
            <w:pPr>
              <w:widowControl/>
              <w:tabs>
                <w:tab w:val="left" w:pos="840"/>
                <w:tab w:val="left" w:pos="1260"/>
                <w:tab w:val="left" w:pos="1440"/>
              </w:tabs>
              <w:spacing w:line="360" w:lineRule="auto"/>
              <w:jc w:val="center"/>
              <w:rPr>
                <w:rFonts w:ascii="宋体" w:hAnsi="宋体" w:cs="宋体"/>
                <w:bCs/>
                <w:kern w:val="0"/>
                <w:szCs w:val="24"/>
              </w:rPr>
            </w:pPr>
          </w:p>
        </w:tc>
        <w:tc>
          <w:tcPr>
            <w:tcW w:w="268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B225958">
            <w:pPr>
              <w:widowControl/>
              <w:tabs>
                <w:tab w:val="left" w:pos="840"/>
                <w:tab w:val="left" w:pos="1260"/>
                <w:tab w:val="left" w:pos="1440"/>
              </w:tabs>
              <w:spacing w:line="360" w:lineRule="auto"/>
              <w:jc w:val="center"/>
              <w:rPr>
                <w:rFonts w:ascii="宋体" w:hAnsi="宋体" w:cs="宋体"/>
                <w:bCs/>
                <w:kern w:val="0"/>
                <w:szCs w:val="24"/>
              </w:rPr>
            </w:pPr>
          </w:p>
        </w:tc>
        <w:tc>
          <w:tcPr>
            <w:tcW w:w="151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DD20A96">
            <w:pPr>
              <w:widowControl/>
              <w:tabs>
                <w:tab w:val="left" w:pos="840"/>
                <w:tab w:val="left" w:pos="1260"/>
                <w:tab w:val="left" w:pos="1440"/>
              </w:tabs>
              <w:spacing w:line="360" w:lineRule="auto"/>
              <w:jc w:val="center"/>
              <w:rPr>
                <w:rFonts w:ascii="宋体" w:hAnsi="宋体" w:cs="宋体"/>
                <w:bCs/>
                <w:kern w:val="0"/>
                <w:szCs w:val="24"/>
              </w:rPr>
            </w:pPr>
          </w:p>
        </w:tc>
      </w:tr>
      <w:tr w14:paraId="6B447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4" w:type="dxa"/>
            <w:tcBorders>
              <w:top w:val="single" w:color="auto" w:sz="4" w:space="0"/>
              <w:left w:val="single" w:color="auto" w:sz="4" w:space="0"/>
              <w:bottom w:val="single" w:color="auto" w:sz="4" w:space="0"/>
              <w:right w:val="single" w:color="auto" w:sz="4" w:space="0"/>
            </w:tcBorders>
            <w:shd w:val="clear" w:color="auto" w:fill="auto"/>
            <w:vAlign w:val="center"/>
          </w:tcPr>
          <w:p w14:paraId="126F5E22">
            <w:pPr>
              <w:widowControl/>
              <w:tabs>
                <w:tab w:val="left" w:pos="840"/>
                <w:tab w:val="left" w:pos="1260"/>
                <w:tab w:val="left" w:pos="1440"/>
              </w:tabs>
              <w:spacing w:line="360" w:lineRule="auto"/>
              <w:jc w:val="center"/>
              <w:rPr>
                <w:rFonts w:ascii="宋体" w:hAnsi="宋体" w:cs="宋体"/>
                <w:bCs/>
                <w:kern w:val="0"/>
                <w:szCs w:val="24"/>
              </w:rPr>
            </w:pPr>
            <w:r>
              <w:rPr>
                <w:rFonts w:hint="eastAsia" w:ascii="宋体" w:hAnsi="宋体" w:cs="宋体"/>
                <w:bCs/>
                <w:kern w:val="0"/>
                <w:szCs w:val="24"/>
              </w:rPr>
              <w:t>2</w:t>
            </w:r>
          </w:p>
        </w:tc>
        <w:tc>
          <w:tcPr>
            <w:tcW w:w="1920" w:type="dxa"/>
            <w:tcBorders>
              <w:top w:val="single" w:color="auto" w:sz="4" w:space="0"/>
              <w:left w:val="single" w:color="auto" w:sz="4" w:space="0"/>
              <w:bottom w:val="single" w:color="auto" w:sz="4" w:space="0"/>
              <w:right w:val="single" w:color="auto" w:sz="4" w:space="0"/>
            </w:tcBorders>
            <w:shd w:val="clear" w:color="auto" w:fill="auto"/>
            <w:vAlign w:val="center"/>
          </w:tcPr>
          <w:p w14:paraId="74491EAC">
            <w:pPr>
              <w:widowControl/>
              <w:tabs>
                <w:tab w:val="left" w:pos="840"/>
                <w:tab w:val="left" w:pos="1260"/>
                <w:tab w:val="left" w:pos="1440"/>
              </w:tabs>
              <w:spacing w:line="360" w:lineRule="auto"/>
              <w:jc w:val="center"/>
              <w:rPr>
                <w:rFonts w:ascii="宋体" w:hAnsi="宋体" w:cs="宋体"/>
                <w:bCs/>
                <w:kern w:val="0"/>
                <w:szCs w:val="24"/>
              </w:rPr>
            </w:pPr>
            <w:r>
              <w:rPr>
                <w:rFonts w:hint="eastAsia" w:ascii="宋体" w:hAnsi="宋体" w:cs="宋体"/>
                <w:bCs/>
                <w:kern w:val="0"/>
                <w:szCs w:val="24"/>
              </w:rPr>
              <w:t>医学影像处理工作站uWS-CT</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14:paraId="24B93BEE">
            <w:pPr>
              <w:widowControl/>
              <w:tabs>
                <w:tab w:val="left" w:pos="840"/>
                <w:tab w:val="left" w:pos="1260"/>
                <w:tab w:val="left" w:pos="1440"/>
              </w:tabs>
              <w:spacing w:line="360" w:lineRule="auto"/>
              <w:jc w:val="center"/>
              <w:rPr>
                <w:rFonts w:ascii="宋体" w:hAnsi="宋体" w:cs="宋体"/>
                <w:bCs/>
                <w:kern w:val="0"/>
                <w:szCs w:val="24"/>
              </w:rPr>
            </w:pPr>
            <w:r>
              <w:rPr>
                <w:rFonts w:hint="eastAsia" w:ascii="宋体" w:hAnsi="宋体" w:cs="宋体"/>
                <w:bCs/>
                <w:kern w:val="0"/>
                <w:szCs w:val="24"/>
              </w:rPr>
              <w:t>102525</w:t>
            </w:r>
          </w:p>
        </w:tc>
        <w:tc>
          <w:tcPr>
            <w:tcW w:w="15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4E6D046">
            <w:pPr>
              <w:widowControl/>
              <w:spacing w:line="360" w:lineRule="auto"/>
              <w:jc w:val="left"/>
              <w:rPr>
                <w:rFonts w:ascii="宋体" w:hAnsi="宋体" w:cs="宋体"/>
                <w:bCs/>
                <w:kern w:val="0"/>
                <w:szCs w:val="24"/>
              </w:rPr>
            </w:pPr>
          </w:p>
        </w:tc>
        <w:tc>
          <w:tcPr>
            <w:tcW w:w="26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415F190">
            <w:pPr>
              <w:widowControl/>
              <w:spacing w:line="360" w:lineRule="auto"/>
              <w:jc w:val="left"/>
              <w:rPr>
                <w:rFonts w:ascii="宋体" w:hAnsi="宋体" w:cs="宋体"/>
                <w:bCs/>
                <w:kern w:val="0"/>
                <w:szCs w:val="24"/>
              </w:rPr>
            </w:pPr>
          </w:p>
        </w:tc>
        <w:tc>
          <w:tcPr>
            <w:tcW w:w="15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4147CDA">
            <w:pPr>
              <w:widowControl/>
              <w:spacing w:line="360" w:lineRule="auto"/>
              <w:jc w:val="left"/>
              <w:rPr>
                <w:rFonts w:ascii="宋体" w:hAnsi="宋体" w:cs="宋体"/>
                <w:bCs/>
                <w:kern w:val="0"/>
                <w:szCs w:val="24"/>
              </w:rPr>
            </w:pPr>
          </w:p>
        </w:tc>
      </w:tr>
      <w:tr w14:paraId="1F670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39"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1774B128">
            <w:pPr>
              <w:widowControl/>
              <w:tabs>
                <w:tab w:val="left" w:pos="840"/>
                <w:tab w:val="left" w:pos="1260"/>
                <w:tab w:val="left" w:pos="1440"/>
              </w:tabs>
              <w:spacing w:line="360" w:lineRule="auto"/>
              <w:jc w:val="center"/>
              <w:rPr>
                <w:rFonts w:ascii="宋体" w:hAnsi="宋体" w:cs="宋体"/>
                <w:bCs/>
                <w:kern w:val="0"/>
                <w:szCs w:val="24"/>
              </w:rPr>
            </w:pPr>
            <w:r>
              <w:rPr>
                <w:rFonts w:hint="eastAsia" w:ascii="宋体" w:hAnsi="宋体" w:cs="宋体"/>
                <w:bCs/>
                <w:kern w:val="0"/>
                <w:szCs w:val="24"/>
              </w:rPr>
              <w:t>合同总价：人民币            元(大写:        元整)</w:t>
            </w:r>
          </w:p>
        </w:tc>
      </w:tr>
    </w:tbl>
    <w:p w14:paraId="69E199A8">
      <w:pPr>
        <w:tabs>
          <w:tab w:val="left" w:pos="840"/>
          <w:tab w:val="left" w:pos="1260"/>
          <w:tab w:val="left" w:pos="1440"/>
        </w:tabs>
        <w:spacing w:line="360" w:lineRule="auto"/>
        <w:rPr>
          <w:rFonts w:ascii="宋体" w:hAnsi="宋体"/>
          <w:bCs/>
          <w:szCs w:val="24"/>
        </w:rPr>
      </w:pPr>
    </w:p>
    <w:p w14:paraId="193C5141">
      <w:pPr>
        <w:tabs>
          <w:tab w:val="left" w:pos="840"/>
          <w:tab w:val="left" w:pos="1260"/>
          <w:tab w:val="left" w:pos="1440"/>
        </w:tabs>
        <w:spacing w:line="360" w:lineRule="auto"/>
        <w:rPr>
          <w:rFonts w:ascii="宋体" w:hAnsi="宋体"/>
          <w:bCs/>
          <w:szCs w:val="24"/>
        </w:rPr>
      </w:pPr>
      <w:r>
        <w:rPr>
          <w:rFonts w:hint="eastAsia" w:ascii="宋体" w:hAnsi="宋体"/>
          <w:bCs/>
          <w:szCs w:val="24"/>
        </w:rPr>
        <w:t>2. 维保服务内容</w:t>
      </w:r>
    </w:p>
    <w:p w14:paraId="7311C344">
      <w:pPr>
        <w:tabs>
          <w:tab w:val="left" w:pos="840"/>
          <w:tab w:val="left" w:pos="1260"/>
          <w:tab w:val="left" w:pos="1440"/>
        </w:tabs>
        <w:spacing w:line="360" w:lineRule="auto"/>
        <w:rPr>
          <w:rFonts w:ascii="宋体" w:hAnsi="宋体"/>
          <w:bCs/>
          <w:szCs w:val="24"/>
        </w:rPr>
      </w:pPr>
      <w:r>
        <w:rPr>
          <w:rFonts w:hint="eastAsia" w:ascii="宋体" w:hAnsi="宋体"/>
          <w:bCs/>
          <w:szCs w:val="24"/>
        </w:rPr>
        <w:t xml:space="preserve">  在甲方按约定支付维保服务费的前提下， 乙方承诺在维保服务期内对合同项下的设备提供下列服务：</w:t>
      </w:r>
    </w:p>
    <w:p w14:paraId="6908222A">
      <w:pPr>
        <w:tabs>
          <w:tab w:val="left" w:pos="840"/>
          <w:tab w:val="left" w:pos="1260"/>
          <w:tab w:val="left" w:pos="1440"/>
        </w:tabs>
        <w:spacing w:line="360" w:lineRule="auto"/>
        <w:rPr>
          <w:rFonts w:ascii="宋体" w:hAnsi="宋体"/>
          <w:bCs/>
          <w:szCs w:val="24"/>
        </w:rPr>
      </w:pPr>
      <w:r>
        <w:rPr>
          <w:rFonts w:hint="eastAsia" w:ascii="宋体" w:hAnsi="宋体"/>
          <w:bCs/>
          <w:szCs w:val="24"/>
        </w:rPr>
        <w:t>(1) 维修服务；</w:t>
      </w:r>
    </w:p>
    <w:p w14:paraId="6ABE4B10">
      <w:pPr>
        <w:tabs>
          <w:tab w:val="left" w:pos="840"/>
          <w:tab w:val="left" w:pos="1260"/>
          <w:tab w:val="left" w:pos="1440"/>
        </w:tabs>
        <w:spacing w:line="360" w:lineRule="auto"/>
        <w:rPr>
          <w:rFonts w:ascii="宋体" w:hAnsi="宋体"/>
          <w:bCs/>
          <w:szCs w:val="24"/>
        </w:rPr>
      </w:pPr>
      <w:r>
        <w:rPr>
          <w:rFonts w:hint="eastAsia" w:ascii="宋体" w:hAnsi="宋体"/>
          <w:bCs/>
          <w:szCs w:val="24"/>
        </w:rPr>
        <w:t>(2) 提供维修中所需备件；</w:t>
      </w:r>
    </w:p>
    <w:p w14:paraId="148BD1C6">
      <w:pPr>
        <w:tabs>
          <w:tab w:val="left" w:pos="840"/>
          <w:tab w:val="left" w:pos="1260"/>
          <w:tab w:val="left" w:pos="1440"/>
        </w:tabs>
        <w:spacing w:line="360" w:lineRule="auto"/>
        <w:rPr>
          <w:rFonts w:ascii="宋体" w:hAnsi="宋体"/>
          <w:bCs/>
          <w:szCs w:val="24"/>
        </w:rPr>
      </w:pPr>
      <w:r>
        <w:rPr>
          <w:rFonts w:hint="eastAsia" w:ascii="宋体" w:hAnsi="宋体"/>
          <w:bCs/>
          <w:szCs w:val="24"/>
        </w:rPr>
        <w:t>(3) 安全检查： 制定检查计划、机械安全检查、电器安全检查、记录检查结果；</w:t>
      </w:r>
    </w:p>
    <w:p w14:paraId="6AF39823">
      <w:pPr>
        <w:tabs>
          <w:tab w:val="left" w:pos="840"/>
          <w:tab w:val="left" w:pos="1260"/>
          <w:tab w:val="left" w:pos="1440"/>
        </w:tabs>
        <w:spacing w:line="360" w:lineRule="auto"/>
        <w:rPr>
          <w:rFonts w:ascii="宋体" w:hAnsi="宋体"/>
          <w:bCs/>
          <w:szCs w:val="24"/>
        </w:rPr>
      </w:pPr>
      <w:r>
        <w:rPr>
          <w:rFonts w:hint="eastAsia" w:ascii="宋体" w:hAnsi="宋体"/>
          <w:bCs/>
          <w:szCs w:val="24"/>
        </w:rPr>
        <w:t>(4) 质量检查：检查图像质量(效果)、评判参数结果、调整/校准至原厂家质量标准、记录设备质量报告；</w:t>
      </w:r>
    </w:p>
    <w:p w14:paraId="6E6969E7">
      <w:pPr>
        <w:tabs>
          <w:tab w:val="left" w:pos="840"/>
          <w:tab w:val="left" w:pos="1260"/>
          <w:tab w:val="left" w:pos="1440"/>
        </w:tabs>
        <w:spacing w:line="360" w:lineRule="auto"/>
        <w:rPr>
          <w:rFonts w:ascii="宋体" w:hAnsi="宋体"/>
          <w:bCs/>
          <w:szCs w:val="24"/>
        </w:rPr>
      </w:pPr>
      <w:r>
        <w:rPr>
          <w:rFonts w:hint="eastAsia" w:ascii="宋体" w:hAnsi="宋体"/>
          <w:bCs/>
          <w:szCs w:val="24"/>
        </w:rPr>
        <w:t>(5) 提供预防性保养(2 次/合同年度)及保养耗材。</w:t>
      </w:r>
    </w:p>
    <w:p w14:paraId="3F9BCC9B">
      <w:pPr>
        <w:tabs>
          <w:tab w:val="left" w:pos="840"/>
          <w:tab w:val="left" w:pos="1260"/>
          <w:tab w:val="left" w:pos="1440"/>
        </w:tabs>
        <w:spacing w:line="360" w:lineRule="auto"/>
        <w:rPr>
          <w:rFonts w:ascii="宋体" w:hAnsi="宋体"/>
          <w:bCs/>
          <w:szCs w:val="24"/>
        </w:rPr>
      </w:pPr>
      <w:r>
        <w:rPr>
          <w:rFonts w:hint="eastAsia" w:ascii="宋体" w:hAnsi="宋体"/>
          <w:bCs/>
          <w:szCs w:val="24"/>
        </w:rPr>
        <w:t>(6) 保修不含球管、高压发生器和探测器</w:t>
      </w:r>
    </w:p>
    <w:p w14:paraId="5279640A">
      <w:pPr>
        <w:tabs>
          <w:tab w:val="left" w:pos="840"/>
          <w:tab w:val="left" w:pos="1260"/>
          <w:tab w:val="left" w:pos="1440"/>
        </w:tabs>
        <w:spacing w:line="360" w:lineRule="auto"/>
        <w:rPr>
          <w:rFonts w:ascii="宋体" w:hAnsi="宋体"/>
          <w:bCs/>
          <w:szCs w:val="24"/>
        </w:rPr>
      </w:pPr>
      <w:r>
        <w:rPr>
          <w:rFonts w:hint="eastAsia" w:ascii="宋体" w:hAnsi="宋体"/>
          <w:bCs/>
          <w:szCs w:val="24"/>
        </w:rPr>
        <w:t>3.验收标准</w:t>
      </w:r>
    </w:p>
    <w:p w14:paraId="6FCF8D73">
      <w:pPr>
        <w:tabs>
          <w:tab w:val="left" w:pos="840"/>
          <w:tab w:val="left" w:pos="1260"/>
          <w:tab w:val="left" w:pos="1440"/>
        </w:tabs>
        <w:spacing w:line="360" w:lineRule="auto"/>
        <w:rPr>
          <w:rFonts w:ascii="宋体" w:hAnsi="宋体"/>
          <w:bCs/>
          <w:szCs w:val="24"/>
        </w:rPr>
      </w:pPr>
      <w:r>
        <w:rPr>
          <w:rFonts w:hint="eastAsia" w:ascii="宋体" w:hAnsi="宋体"/>
          <w:bCs/>
          <w:szCs w:val="24"/>
        </w:rPr>
        <w:t>符合中华人民共和国国家和履约地相关行业技术规范标准、安全质量标准。验收时如发现乙方维修的设备有损坏或其它不符合本合同规定之情形者，甲方应作出详尽的现场记录，或由甲乙双方签署备忘录。此现场记录或备忘录可用作补充、缺失和更换损坏部件的有效证据。由此产生的有关费用由乙方承担。乙方应在甲方指定期限内进行整改和二次维修，直至符合甲方及合同要求，并再次提交甲方验收。</w:t>
      </w:r>
    </w:p>
    <w:p w14:paraId="531A6075">
      <w:pPr>
        <w:tabs>
          <w:tab w:val="left" w:pos="840"/>
          <w:tab w:val="left" w:pos="1260"/>
          <w:tab w:val="left" w:pos="1440"/>
        </w:tabs>
        <w:spacing w:line="360" w:lineRule="auto"/>
        <w:rPr>
          <w:rFonts w:ascii="宋体" w:hAnsi="宋体"/>
          <w:bCs/>
          <w:szCs w:val="24"/>
        </w:rPr>
      </w:pPr>
      <w:r>
        <w:rPr>
          <w:rFonts w:hint="eastAsia" w:ascii="宋体" w:hAnsi="宋体"/>
          <w:bCs/>
          <w:szCs w:val="24"/>
        </w:rPr>
        <w:t>4. 维保服务费及支付方式</w:t>
      </w:r>
    </w:p>
    <w:p w14:paraId="5B6CD12D">
      <w:pPr>
        <w:tabs>
          <w:tab w:val="left" w:pos="840"/>
          <w:tab w:val="left" w:pos="1260"/>
          <w:tab w:val="left" w:pos="1440"/>
        </w:tabs>
        <w:spacing w:line="360" w:lineRule="auto"/>
        <w:rPr>
          <w:rFonts w:ascii="宋体" w:hAnsi="宋体"/>
          <w:bCs/>
          <w:szCs w:val="24"/>
        </w:rPr>
      </w:pPr>
      <w:r>
        <w:rPr>
          <w:rFonts w:hint="eastAsia" w:ascii="宋体" w:hAnsi="宋体"/>
          <w:bCs/>
          <w:szCs w:val="24"/>
        </w:rPr>
        <w:t>4.1合同签订之日起10日内，乙方向甲方开具合法有效的等额增值税发票。甲方收到乙方发票后五个工作日内向乙方支付本合同50%的服务费。合同签署后满4个月后的10日内，乙方向甲方开具合法有效的等额增值税发票，甲方收到乙方发票后五个工作日内向乙方支付本合同剩余50%的服务费</w:t>
      </w:r>
    </w:p>
    <w:p w14:paraId="1A6536F0">
      <w:pPr>
        <w:tabs>
          <w:tab w:val="left" w:pos="840"/>
          <w:tab w:val="left" w:pos="1260"/>
          <w:tab w:val="left" w:pos="1440"/>
        </w:tabs>
        <w:spacing w:line="360" w:lineRule="auto"/>
        <w:rPr>
          <w:rFonts w:ascii="宋体" w:hAnsi="宋体"/>
          <w:bCs/>
          <w:szCs w:val="24"/>
        </w:rPr>
      </w:pPr>
      <w:r>
        <w:rPr>
          <w:rFonts w:hint="eastAsia" w:ascii="宋体" w:hAnsi="宋体"/>
          <w:bCs/>
          <w:szCs w:val="24"/>
        </w:rPr>
        <w:t>4.2如甲方使用的是财政资金，甲方在前款规定的付款时间为向上级主管部门提出办理财政支付申请手续的时间（不含政府财政支付部门审核的时间），在规定时间内提出支付申请手续后即视为甲方已经按期支付。如因乙方迟延提供发票及请款资料等原因导致甲方在本合同约定的期限范围内未能办理申请支付手续，甲方办理申请支付手续的期限相应顺延，且无需承担任何违约责任。因甲方年度支出预算不足无法足额支付当期服务费的，则应顺延到下一财年完成该期剩余款的支付，由于财政资金拨款不到位而导致甲方逾期付款的，甲方不承担违约责任，乙方不因上述原因拒绝为甲方提供服务。</w:t>
      </w:r>
    </w:p>
    <w:p w14:paraId="403096AE">
      <w:pPr>
        <w:tabs>
          <w:tab w:val="left" w:pos="840"/>
          <w:tab w:val="left" w:pos="1260"/>
          <w:tab w:val="left" w:pos="1440"/>
        </w:tabs>
        <w:spacing w:line="360" w:lineRule="auto"/>
        <w:rPr>
          <w:rFonts w:ascii="宋体" w:hAnsi="宋体"/>
          <w:bCs/>
          <w:szCs w:val="24"/>
        </w:rPr>
      </w:pPr>
      <w:r>
        <w:rPr>
          <w:rFonts w:hint="eastAsia" w:ascii="宋体" w:hAnsi="宋体"/>
          <w:bCs/>
          <w:szCs w:val="24"/>
        </w:rPr>
        <w:t>5. 合同未包括的服务内容</w:t>
      </w:r>
    </w:p>
    <w:p w14:paraId="522F49A5">
      <w:pPr>
        <w:tabs>
          <w:tab w:val="left" w:pos="840"/>
          <w:tab w:val="left" w:pos="1260"/>
          <w:tab w:val="left" w:pos="1440"/>
        </w:tabs>
        <w:spacing w:line="360" w:lineRule="auto"/>
        <w:rPr>
          <w:rFonts w:ascii="宋体" w:hAnsi="宋体"/>
          <w:bCs/>
          <w:szCs w:val="24"/>
        </w:rPr>
      </w:pPr>
      <w:r>
        <w:rPr>
          <w:rFonts w:hint="eastAsia" w:ascii="宋体" w:hAnsi="宋体"/>
          <w:bCs/>
          <w:szCs w:val="24"/>
        </w:rPr>
        <w:t>5.1 本合同不包含下列服务内容，如果甲方要求乙方提供下列服务，则按照乙方“付费维保服务标准”另行计算维保服务费：</w:t>
      </w:r>
    </w:p>
    <w:p w14:paraId="0B328609">
      <w:pPr>
        <w:tabs>
          <w:tab w:val="left" w:pos="840"/>
          <w:tab w:val="left" w:pos="1260"/>
          <w:tab w:val="left" w:pos="1440"/>
        </w:tabs>
        <w:spacing w:line="360" w:lineRule="auto"/>
        <w:rPr>
          <w:rFonts w:ascii="宋体" w:hAnsi="宋体"/>
          <w:bCs/>
          <w:szCs w:val="24"/>
        </w:rPr>
      </w:pPr>
      <w:r>
        <w:rPr>
          <w:rFonts w:hint="eastAsia" w:ascii="宋体" w:hAnsi="宋体"/>
          <w:bCs/>
          <w:szCs w:val="24"/>
        </w:rPr>
        <w:t>(1) 本合同项下的设备拆机、翻新、重装、迁移、搬动所产生的费用及保险费,双方另有约定的除外。</w:t>
      </w:r>
    </w:p>
    <w:p w14:paraId="535D2394">
      <w:pPr>
        <w:tabs>
          <w:tab w:val="left" w:pos="840"/>
          <w:tab w:val="left" w:pos="1260"/>
          <w:tab w:val="left" w:pos="1440"/>
        </w:tabs>
        <w:spacing w:line="360" w:lineRule="auto"/>
        <w:rPr>
          <w:rFonts w:ascii="宋体" w:hAnsi="宋体"/>
          <w:bCs/>
          <w:szCs w:val="24"/>
        </w:rPr>
      </w:pPr>
      <w:r>
        <w:rPr>
          <w:rFonts w:hint="eastAsia" w:ascii="宋体" w:hAnsi="宋体"/>
          <w:bCs/>
          <w:szCs w:val="24"/>
        </w:rPr>
        <w:t>(2) 非乙方指派或甲方自行或甲方指定的第三方维修设备、更换备件、改装设备及其备件或其他乙方不能控制的任何原因造成的设备损坏需要乙方维修的。</w:t>
      </w:r>
    </w:p>
    <w:p w14:paraId="71989426">
      <w:pPr>
        <w:tabs>
          <w:tab w:val="left" w:pos="840"/>
          <w:tab w:val="left" w:pos="1260"/>
          <w:tab w:val="left" w:pos="1440"/>
        </w:tabs>
        <w:spacing w:line="360" w:lineRule="auto"/>
        <w:rPr>
          <w:rFonts w:ascii="宋体" w:hAnsi="宋体"/>
          <w:bCs/>
          <w:szCs w:val="24"/>
        </w:rPr>
      </w:pPr>
      <w:r>
        <w:rPr>
          <w:rFonts w:hint="eastAsia" w:ascii="宋体" w:hAnsi="宋体"/>
          <w:bCs/>
          <w:szCs w:val="24"/>
        </w:rPr>
        <w:t>(3) 乙方应甲方的要求进行维保服务前，甲方隐瞒其设备的真实情况，包括但不限于自行或聘请第三方维修、更换备件、改装设备及备件，导致乙方在维修时发生备件损坏。</w:t>
      </w:r>
    </w:p>
    <w:p w14:paraId="0A1FE0D5">
      <w:pPr>
        <w:tabs>
          <w:tab w:val="left" w:pos="840"/>
          <w:tab w:val="left" w:pos="1260"/>
          <w:tab w:val="left" w:pos="1440"/>
        </w:tabs>
        <w:spacing w:line="360" w:lineRule="auto"/>
        <w:rPr>
          <w:rFonts w:ascii="宋体" w:hAnsi="宋体"/>
          <w:bCs/>
          <w:szCs w:val="24"/>
        </w:rPr>
      </w:pPr>
      <w:r>
        <w:rPr>
          <w:rFonts w:hint="eastAsia" w:ascii="宋体" w:hAnsi="宋体"/>
          <w:bCs/>
          <w:szCs w:val="24"/>
        </w:rPr>
        <w:t>(4) 甲方未遵照设备使用说明书或保养及操作手册上的规定所进行的操作引起的设备故障。</w:t>
      </w:r>
    </w:p>
    <w:p w14:paraId="2793381A">
      <w:pPr>
        <w:tabs>
          <w:tab w:val="left" w:pos="840"/>
          <w:tab w:val="left" w:pos="1260"/>
          <w:tab w:val="left" w:pos="1440"/>
        </w:tabs>
        <w:spacing w:line="360" w:lineRule="auto"/>
        <w:rPr>
          <w:rFonts w:ascii="宋体" w:hAnsi="宋体"/>
          <w:bCs/>
          <w:szCs w:val="24"/>
        </w:rPr>
      </w:pPr>
      <w:r>
        <w:rPr>
          <w:rFonts w:hint="eastAsia" w:ascii="宋体" w:hAnsi="宋体"/>
          <w:bCs/>
          <w:szCs w:val="24"/>
        </w:rPr>
        <w:t>(5) 非设备自身原因所造成的液氦损耗(若涉及)或设备其他损坏、故障等。</w:t>
      </w:r>
    </w:p>
    <w:p w14:paraId="379B99CC">
      <w:pPr>
        <w:tabs>
          <w:tab w:val="left" w:pos="840"/>
          <w:tab w:val="left" w:pos="1260"/>
          <w:tab w:val="left" w:pos="1440"/>
        </w:tabs>
        <w:spacing w:line="360" w:lineRule="auto"/>
        <w:rPr>
          <w:rFonts w:ascii="宋体" w:hAnsi="宋体"/>
          <w:bCs/>
          <w:szCs w:val="24"/>
        </w:rPr>
      </w:pPr>
      <w:r>
        <w:rPr>
          <w:rFonts w:hint="eastAsia" w:ascii="宋体" w:hAnsi="宋体"/>
          <w:bCs/>
          <w:szCs w:val="24"/>
        </w:rPr>
        <w:t>5.2 本合同项下的设备配置的外围设备(如工作站、激光打印机、洗片机、精密空调、水冷机、高压注射器等)，将由双方另行协商，乙方将另外提供有偿服务。</w:t>
      </w:r>
    </w:p>
    <w:p w14:paraId="23116ACE">
      <w:pPr>
        <w:tabs>
          <w:tab w:val="left" w:pos="840"/>
          <w:tab w:val="left" w:pos="1260"/>
          <w:tab w:val="left" w:pos="1440"/>
        </w:tabs>
        <w:spacing w:line="360" w:lineRule="auto"/>
        <w:rPr>
          <w:rFonts w:ascii="宋体" w:hAnsi="宋体"/>
          <w:bCs/>
          <w:szCs w:val="24"/>
        </w:rPr>
      </w:pPr>
      <w:r>
        <w:rPr>
          <w:rFonts w:hint="eastAsia" w:ascii="宋体" w:hAnsi="宋体"/>
          <w:bCs/>
          <w:szCs w:val="24"/>
        </w:rPr>
        <w:t>5.3 附件和易耗品：非设备基本功能所必需的或因消耗及磨损需要定期更换与补充的各种材料(如纸张、墨水、胶片、电池、数据交换载体等)。</w:t>
      </w:r>
    </w:p>
    <w:p w14:paraId="60997888">
      <w:pPr>
        <w:tabs>
          <w:tab w:val="left" w:pos="840"/>
          <w:tab w:val="left" w:pos="1260"/>
          <w:tab w:val="left" w:pos="1440"/>
        </w:tabs>
        <w:spacing w:line="360" w:lineRule="auto"/>
        <w:rPr>
          <w:rFonts w:ascii="宋体" w:hAnsi="宋体"/>
          <w:bCs/>
          <w:szCs w:val="24"/>
        </w:rPr>
      </w:pPr>
      <w:r>
        <w:rPr>
          <w:rFonts w:hint="eastAsia" w:ascii="宋体" w:hAnsi="宋体"/>
          <w:bCs/>
          <w:szCs w:val="24"/>
        </w:rPr>
        <w:t>6. 法律适用与争议解决</w:t>
      </w:r>
    </w:p>
    <w:p w14:paraId="667443D4">
      <w:pPr>
        <w:tabs>
          <w:tab w:val="left" w:pos="840"/>
          <w:tab w:val="left" w:pos="1260"/>
          <w:tab w:val="left" w:pos="1440"/>
        </w:tabs>
        <w:spacing w:line="360" w:lineRule="auto"/>
        <w:rPr>
          <w:rFonts w:ascii="宋体" w:hAnsi="宋体"/>
          <w:bCs/>
          <w:szCs w:val="24"/>
        </w:rPr>
      </w:pPr>
      <w:r>
        <w:rPr>
          <w:rFonts w:hint="eastAsia" w:ascii="宋体" w:hAnsi="宋体"/>
          <w:bCs/>
          <w:szCs w:val="24"/>
        </w:rPr>
        <w:t>本合同及与本合同相关的一切事项适用中华人民共和国法律。在履行本合同中出现的争议，双方应友好 协商解决。若协商无法解决,双方同意将争议提交甲方住所地有管辖权的人民法院以诉讼方式解决。</w:t>
      </w:r>
    </w:p>
    <w:p w14:paraId="07D7B415">
      <w:pPr>
        <w:tabs>
          <w:tab w:val="left" w:pos="840"/>
          <w:tab w:val="left" w:pos="1260"/>
          <w:tab w:val="left" w:pos="1440"/>
        </w:tabs>
        <w:spacing w:line="360" w:lineRule="auto"/>
        <w:rPr>
          <w:rFonts w:ascii="宋体" w:hAnsi="宋体"/>
          <w:bCs/>
          <w:szCs w:val="24"/>
        </w:rPr>
      </w:pPr>
      <w:r>
        <w:rPr>
          <w:rFonts w:hint="eastAsia" w:ascii="宋体" w:hAnsi="宋体"/>
          <w:bCs/>
          <w:szCs w:val="24"/>
        </w:rPr>
        <w:t>7. 其他</w:t>
      </w:r>
    </w:p>
    <w:p w14:paraId="26283B2B">
      <w:pPr>
        <w:tabs>
          <w:tab w:val="left" w:pos="840"/>
          <w:tab w:val="left" w:pos="1260"/>
          <w:tab w:val="left" w:pos="1440"/>
        </w:tabs>
        <w:spacing w:line="360" w:lineRule="auto"/>
        <w:rPr>
          <w:rFonts w:ascii="宋体" w:hAnsi="宋体"/>
          <w:bCs/>
          <w:szCs w:val="24"/>
        </w:rPr>
      </w:pPr>
      <w:r>
        <w:rPr>
          <w:rFonts w:hint="eastAsia" w:ascii="宋体" w:hAnsi="宋体"/>
          <w:bCs/>
          <w:szCs w:val="24"/>
        </w:rPr>
        <w:t>7.1  本合同未尽事项，由双方另行协商确定。协商一致后可另行签订书面补充协议进行约定，补充协议与本合同具有同等法律效力。</w:t>
      </w:r>
    </w:p>
    <w:p w14:paraId="5FC1A36D">
      <w:pPr>
        <w:tabs>
          <w:tab w:val="left" w:pos="840"/>
          <w:tab w:val="left" w:pos="1260"/>
          <w:tab w:val="left" w:pos="1440"/>
        </w:tabs>
        <w:spacing w:line="360" w:lineRule="auto"/>
        <w:rPr>
          <w:rFonts w:ascii="宋体" w:hAnsi="宋体"/>
          <w:bCs/>
          <w:szCs w:val="24"/>
        </w:rPr>
      </w:pPr>
      <w:r>
        <w:rPr>
          <w:rFonts w:hint="eastAsia" w:ascii="宋体" w:hAnsi="宋体"/>
          <w:bCs/>
          <w:szCs w:val="24"/>
        </w:rPr>
        <w:t>7.2  双方同意，任何对本合同的修改需经双方书面作出并经双方书面确认，否则无效。</w:t>
      </w:r>
    </w:p>
    <w:p w14:paraId="10D6BA99">
      <w:pPr>
        <w:tabs>
          <w:tab w:val="left" w:pos="840"/>
          <w:tab w:val="left" w:pos="1260"/>
          <w:tab w:val="left" w:pos="1440"/>
        </w:tabs>
        <w:spacing w:line="360" w:lineRule="auto"/>
        <w:rPr>
          <w:rFonts w:ascii="宋体" w:hAnsi="宋体"/>
          <w:bCs/>
          <w:szCs w:val="24"/>
        </w:rPr>
      </w:pPr>
      <w:r>
        <w:rPr>
          <w:rFonts w:hint="eastAsia" w:ascii="宋体" w:hAnsi="宋体"/>
          <w:bCs/>
          <w:szCs w:val="24"/>
        </w:rPr>
        <w:t>7.3  本项目竞争性磋商文件中的采购需求内容及附件《维保服务合同一般条款》作为本合同的组成部分，具有补充、解释合同的作用，对双方都具有约束力。若本合同条款与附件及磋商文件的相关约定发生冲突或不一致，以本合同约定为准；本合同未约定事项，按照附件相关约定执行。</w:t>
      </w:r>
    </w:p>
    <w:p w14:paraId="2E07044C">
      <w:pPr>
        <w:tabs>
          <w:tab w:val="left" w:pos="840"/>
          <w:tab w:val="left" w:pos="1260"/>
          <w:tab w:val="left" w:pos="1440"/>
        </w:tabs>
        <w:spacing w:line="360" w:lineRule="auto"/>
        <w:rPr>
          <w:rFonts w:ascii="宋体" w:hAnsi="宋体"/>
          <w:bCs/>
          <w:szCs w:val="24"/>
        </w:rPr>
      </w:pPr>
      <w:r>
        <w:rPr>
          <w:rFonts w:hint="eastAsia" w:ascii="宋体" w:hAnsi="宋体"/>
          <w:bCs/>
          <w:szCs w:val="24"/>
        </w:rPr>
        <w:t>7.4  本合同自双方盖章之日起生效，本合同一式陆份，甲方执肆份，乙方执贰份，每份具有同等法律效力。</w:t>
      </w:r>
    </w:p>
    <w:p w14:paraId="0C9EF9CC">
      <w:pPr>
        <w:tabs>
          <w:tab w:val="left" w:pos="840"/>
          <w:tab w:val="left" w:pos="1260"/>
          <w:tab w:val="left" w:pos="1440"/>
        </w:tabs>
        <w:spacing w:line="360" w:lineRule="auto"/>
        <w:rPr>
          <w:rFonts w:ascii="宋体" w:hAnsi="宋体"/>
          <w:bCs/>
          <w:szCs w:val="24"/>
        </w:rPr>
      </w:pPr>
      <w:r>
        <w:rPr>
          <w:rFonts w:hint="eastAsia" w:ascii="宋体" w:hAnsi="宋体"/>
          <w:bCs/>
          <w:szCs w:val="24"/>
        </w:rPr>
        <w:t>(以下无正文)</w:t>
      </w:r>
    </w:p>
    <w:p w14:paraId="11EA6EA9">
      <w:pPr>
        <w:tabs>
          <w:tab w:val="left" w:pos="840"/>
          <w:tab w:val="left" w:pos="1260"/>
          <w:tab w:val="left" w:pos="1440"/>
        </w:tabs>
        <w:spacing w:line="360" w:lineRule="auto"/>
        <w:rPr>
          <w:rFonts w:ascii="宋体" w:hAnsi="宋体"/>
          <w:bCs/>
          <w:szCs w:val="24"/>
        </w:rPr>
      </w:pPr>
    </w:p>
    <w:tbl>
      <w:tblPr>
        <w:tblStyle w:val="13"/>
        <w:tblW w:w="0" w:type="auto"/>
        <w:jc w:val="center"/>
        <w:tblLayout w:type="fixed"/>
        <w:tblCellMar>
          <w:top w:w="0" w:type="dxa"/>
          <w:left w:w="108" w:type="dxa"/>
          <w:bottom w:w="0" w:type="dxa"/>
          <w:right w:w="108" w:type="dxa"/>
        </w:tblCellMar>
      </w:tblPr>
      <w:tblGrid>
        <w:gridCol w:w="1390"/>
        <w:gridCol w:w="3146"/>
        <w:gridCol w:w="1390"/>
        <w:gridCol w:w="3146"/>
      </w:tblGrid>
      <w:tr w14:paraId="2E01A939">
        <w:tblPrEx>
          <w:tblCellMar>
            <w:top w:w="0" w:type="dxa"/>
            <w:left w:w="108" w:type="dxa"/>
            <w:bottom w:w="0" w:type="dxa"/>
            <w:right w:w="108" w:type="dxa"/>
          </w:tblCellMar>
        </w:tblPrEx>
        <w:trPr>
          <w:trHeight w:val="567" w:hRule="atLeast"/>
          <w:jc w:val="center"/>
        </w:trPr>
        <w:tc>
          <w:tcPr>
            <w:tcW w:w="1390" w:type="dxa"/>
          </w:tcPr>
          <w:p w14:paraId="3A6A5BB2">
            <w:pPr>
              <w:spacing w:line="360" w:lineRule="auto"/>
              <w:rPr>
                <w:rFonts w:ascii="宋体" w:hAnsi="宋体" w:cs="Arial"/>
                <w:bCs/>
                <w:szCs w:val="24"/>
              </w:rPr>
            </w:pPr>
            <w:r>
              <w:rPr>
                <w:rFonts w:hint="eastAsia" w:ascii="宋体" w:hAnsi="宋体" w:cs="Arial"/>
                <w:bCs/>
                <w:szCs w:val="24"/>
              </w:rPr>
              <w:t>甲方：</w:t>
            </w:r>
          </w:p>
        </w:tc>
        <w:tc>
          <w:tcPr>
            <w:tcW w:w="3146" w:type="dxa"/>
          </w:tcPr>
          <w:p w14:paraId="29273FDF">
            <w:pPr>
              <w:spacing w:line="360" w:lineRule="auto"/>
              <w:jc w:val="right"/>
              <w:rPr>
                <w:rFonts w:ascii="宋体" w:hAnsi="宋体" w:cs="Arial"/>
                <w:bCs/>
                <w:szCs w:val="24"/>
              </w:rPr>
            </w:pPr>
            <w:r>
              <w:rPr>
                <w:rFonts w:hint="eastAsia" w:ascii="宋体" w:hAnsi="宋体" w:cs="Arial"/>
                <w:bCs/>
                <w:szCs w:val="24"/>
              </w:rPr>
              <w:t>（盖章）</w:t>
            </w:r>
          </w:p>
        </w:tc>
        <w:tc>
          <w:tcPr>
            <w:tcW w:w="1390" w:type="dxa"/>
          </w:tcPr>
          <w:p w14:paraId="26E4724E">
            <w:pPr>
              <w:spacing w:line="360" w:lineRule="auto"/>
              <w:rPr>
                <w:rFonts w:ascii="宋体" w:hAnsi="宋体" w:cs="Arial"/>
                <w:bCs/>
                <w:szCs w:val="24"/>
              </w:rPr>
            </w:pPr>
            <w:r>
              <w:rPr>
                <w:rFonts w:hint="eastAsia" w:ascii="宋体" w:hAnsi="宋体" w:cs="Arial"/>
                <w:bCs/>
                <w:szCs w:val="24"/>
              </w:rPr>
              <w:t>乙方：</w:t>
            </w:r>
          </w:p>
        </w:tc>
        <w:tc>
          <w:tcPr>
            <w:tcW w:w="3146" w:type="dxa"/>
          </w:tcPr>
          <w:p w14:paraId="4CE44335">
            <w:pPr>
              <w:spacing w:line="360" w:lineRule="auto"/>
              <w:jc w:val="right"/>
              <w:rPr>
                <w:rFonts w:ascii="宋体" w:hAnsi="宋体" w:cs="Arial"/>
                <w:bCs/>
                <w:szCs w:val="24"/>
              </w:rPr>
            </w:pPr>
            <w:r>
              <w:rPr>
                <w:rFonts w:hint="eastAsia" w:ascii="宋体" w:hAnsi="宋体" w:cs="Arial"/>
                <w:bCs/>
                <w:szCs w:val="24"/>
              </w:rPr>
              <w:t>（盖章）</w:t>
            </w:r>
          </w:p>
        </w:tc>
      </w:tr>
      <w:tr w14:paraId="2ACFAE8A">
        <w:tblPrEx>
          <w:tblCellMar>
            <w:top w:w="0" w:type="dxa"/>
            <w:left w:w="108" w:type="dxa"/>
            <w:bottom w:w="0" w:type="dxa"/>
            <w:right w:w="108" w:type="dxa"/>
          </w:tblCellMar>
        </w:tblPrEx>
        <w:trPr>
          <w:trHeight w:val="567" w:hRule="atLeast"/>
          <w:jc w:val="center"/>
        </w:trPr>
        <w:tc>
          <w:tcPr>
            <w:tcW w:w="1390" w:type="dxa"/>
          </w:tcPr>
          <w:p w14:paraId="360EA474">
            <w:pPr>
              <w:spacing w:line="360" w:lineRule="auto"/>
              <w:rPr>
                <w:rFonts w:ascii="宋体" w:hAnsi="宋体" w:cs="Arial"/>
                <w:bCs/>
                <w:szCs w:val="24"/>
              </w:rPr>
            </w:pPr>
            <w:r>
              <w:rPr>
                <w:rFonts w:hint="eastAsia" w:ascii="宋体" w:hAnsi="宋体" w:cs="Arial"/>
                <w:bCs/>
                <w:szCs w:val="24"/>
              </w:rPr>
              <w:t>法定代表</w:t>
            </w:r>
            <w:r>
              <w:rPr>
                <w:rFonts w:hint="eastAsia" w:ascii="宋体" w:hAnsi="宋体" w:cs="Arial"/>
                <w:bCs/>
                <w:szCs w:val="24"/>
                <w:lang w:val="en-US" w:eastAsia="zh-CN"/>
              </w:rPr>
              <w:t>人</w:t>
            </w:r>
            <w:r>
              <w:rPr>
                <w:rFonts w:hint="eastAsia" w:ascii="宋体" w:hAnsi="宋体" w:cs="Arial"/>
                <w:bCs/>
                <w:szCs w:val="24"/>
              </w:rPr>
              <w:t>：</w:t>
            </w:r>
          </w:p>
        </w:tc>
        <w:tc>
          <w:tcPr>
            <w:tcW w:w="3146" w:type="dxa"/>
          </w:tcPr>
          <w:p w14:paraId="13FBD1A5">
            <w:pPr>
              <w:spacing w:line="360" w:lineRule="auto"/>
              <w:rPr>
                <w:rFonts w:ascii="宋体" w:hAnsi="宋体" w:cs="Arial"/>
                <w:bCs/>
                <w:szCs w:val="24"/>
              </w:rPr>
            </w:pPr>
          </w:p>
        </w:tc>
        <w:tc>
          <w:tcPr>
            <w:tcW w:w="1390" w:type="dxa"/>
          </w:tcPr>
          <w:p w14:paraId="3D9B9377">
            <w:pPr>
              <w:spacing w:line="360" w:lineRule="auto"/>
              <w:rPr>
                <w:rFonts w:ascii="宋体" w:hAnsi="宋体" w:cs="Arial"/>
                <w:bCs/>
                <w:szCs w:val="24"/>
              </w:rPr>
            </w:pPr>
            <w:r>
              <w:rPr>
                <w:rFonts w:hint="eastAsia" w:ascii="宋体" w:hAnsi="宋体" w:cs="Arial"/>
                <w:bCs/>
                <w:szCs w:val="24"/>
              </w:rPr>
              <w:t>法定代表</w:t>
            </w:r>
            <w:r>
              <w:rPr>
                <w:rFonts w:hint="eastAsia" w:ascii="宋体" w:hAnsi="宋体" w:cs="Arial"/>
                <w:bCs/>
                <w:szCs w:val="24"/>
                <w:lang w:val="en-US" w:eastAsia="zh-CN"/>
              </w:rPr>
              <w:t>人</w:t>
            </w:r>
            <w:bookmarkStart w:id="45" w:name="_GoBack"/>
            <w:bookmarkEnd w:id="45"/>
            <w:r>
              <w:rPr>
                <w:rFonts w:hint="eastAsia" w:ascii="宋体" w:hAnsi="宋体" w:cs="Arial"/>
                <w:bCs/>
                <w:szCs w:val="24"/>
              </w:rPr>
              <w:t>：</w:t>
            </w:r>
          </w:p>
        </w:tc>
        <w:tc>
          <w:tcPr>
            <w:tcW w:w="3146" w:type="dxa"/>
          </w:tcPr>
          <w:p w14:paraId="08664AE4">
            <w:pPr>
              <w:spacing w:line="360" w:lineRule="auto"/>
              <w:rPr>
                <w:rFonts w:ascii="宋体" w:hAnsi="宋体" w:cs="Arial"/>
                <w:bCs/>
                <w:szCs w:val="24"/>
              </w:rPr>
            </w:pPr>
          </w:p>
        </w:tc>
      </w:tr>
      <w:tr w14:paraId="295F8C39">
        <w:tblPrEx>
          <w:tblCellMar>
            <w:top w:w="0" w:type="dxa"/>
            <w:left w:w="108" w:type="dxa"/>
            <w:bottom w:w="0" w:type="dxa"/>
            <w:right w:w="108" w:type="dxa"/>
          </w:tblCellMar>
        </w:tblPrEx>
        <w:trPr>
          <w:trHeight w:val="567" w:hRule="atLeast"/>
          <w:jc w:val="center"/>
        </w:trPr>
        <w:tc>
          <w:tcPr>
            <w:tcW w:w="1390" w:type="dxa"/>
          </w:tcPr>
          <w:p w14:paraId="5AB67649">
            <w:pPr>
              <w:spacing w:line="360" w:lineRule="auto"/>
              <w:rPr>
                <w:rFonts w:ascii="宋体" w:hAnsi="宋体" w:cs="Arial"/>
                <w:bCs/>
                <w:szCs w:val="24"/>
              </w:rPr>
            </w:pPr>
            <w:r>
              <w:rPr>
                <w:rFonts w:hint="eastAsia" w:ascii="宋体" w:hAnsi="宋体" w:cs="Arial"/>
                <w:bCs/>
                <w:szCs w:val="24"/>
              </w:rPr>
              <w:t>地    址：</w:t>
            </w:r>
          </w:p>
        </w:tc>
        <w:tc>
          <w:tcPr>
            <w:tcW w:w="3146" w:type="dxa"/>
          </w:tcPr>
          <w:p w14:paraId="639515C4">
            <w:pPr>
              <w:spacing w:line="360" w:lineRule="auto"/>
              <w:rPr>
                <w:rFonts w:ascii="宋体" w:hAnsi="宋体" w:cs="Arial"/>
                <w:bCs/>
                <w:szCs w:val="24"/>
              </w:rPr>
            </w:pPr>
          </w:p>
        </w:tc>
        <w:tc>
          <w:tcPr>
            <w:tcW w:w="1390" w:type="dxa"/>
          </w:tcPr>
          <w:p w14:paraId="4D8C8618">
            <w:pPr>
              <w:spacing w:line="360" w:lineRule="auto"/>
              <w:rPr>
                <w:rFonts w:ascii="宋体" w:hAnsi="宋体" w:cs="Arial"/>
                <w:bCs/>
                <w:szCs w:val="24"/>
              </w:rPr>
            </w:pPr>
            <w:r>
              <w:rPr>
                <w:rFonts w:hint="eastAsia" w:ascii="宋体" w:hAnsi="宋体" w:cs="Arial"/>
                <w:bCs/>
                <w:szCs w:val="24"/>
              </w:rPr>
              <w:t>地    址：</w:t>
            </w:r>
          </w:p>
        </w:tc>
        <w:tc>
          <w:tcPr>
            <w:tcW w:w="3146" w:type="dxa"/>
          </w:tcPr>
          <w:p w14:paraId="329BAE65">
            <w:pPr>
              <w:spacing w:line="360" w:lineRule="auto"/>
              <w:rPr>
                <w:rFonts w:ascii="宋体" w:hAnsi="宋体" w:cs="Arial"/>
                <w:bCs/>
                <w:szCs w:val="24"/>
              </w:rPr>
            </w:pPr>
          </w:p>
        </w:tc>
      </w:tr>
      <w:tr w14:paraId="3D67CBA8">
        <w:tblPrEx>
          <w:tblCellMar>
            <w:top w:w="0" w:type="dxa"/>
            <w:left w:w="108" w:type="dxa"/>
            <w:bottom w:w="0" w:type="dxa"/>
            <w:right w:w="108" w:type="dxa"/>
          </w:tblCellMar>
        </w:tblPrEx>
        <w:trPr>
          <w:trHeight w:val="567" w:hRule="atLeast"/>
          <w:jc w:val="center"/>
        </w:trPr>
        <w:tc>
          <w:tcPr>
            <w:tcW w:w="1390" w:type="dxa"/>
          </w:tcPr>
          <w:p w14:paraId="13E0D67E">
            <w:pPr>
              <w:spacing w:line="360" w:lineRule="auto"/>
              <w:rPr>
                <w:rFonts w:ascii="宋体" w:hAnsi="宋体" w:cs="Arial"/>
                <w:bCs/>
                <w:szCs w:val="24"/>
              </w:rPr>
            </w:pPr>
            <w:r>
              <w:rPr>
                <w:rFonts w:hint="eastAsia" w:ascii="宋体" w:hAnsi="宋体" w:cs="Arial"/>
                <w:bCs/>
                <w:szCs w:val="24"/>
              </w:rPr>
              <w:t>电    话：</w:t>
            </w:r>
          </w:p>
        </w:tc>
        <w:tc>
          <w:tcPr>
            <w:tcW w:w="3146" w:type="dxa"/>
          </w:tcPr>
          <w:p w14:paraId="0267C1A5">
            <w:pPr>
              <w:spacing w:line="360" w:lineRule="auto"/>
              <w:rPr>
                <w:rFonts w:ascii="宋体" w:hAnsi="宋体" w:cs="Arial"/>
                <w:bCs/>
                <w:szCs w:val="24"/>
              </w:rPr>
            </w:pPr>
          </w:p>
        </w:tc>
        <w:tc>
          <w:tcPr>
            <w:tcW w:w="1390" w:type="dxa"/>
          </w:tcPr>
          <w:p w14:paraId="621CEAE9">
            <w:pPr>
              <w:spacing w:line="360" w:lineRule="auto"/>
              <w:rPr>
                <w:rFonts w:ascii="宋体" w:hAnsi="宋体" w:cs="Arial"/>
                <w:bCs/>
                <w:szCs w:val="24"/>
              </w:rPr>
            </w:pPr>
            <w:r>
              <w:rPr>
                <w:rFonts w:hint="eastAsia" w:ascii="宋体" w:hAnsi="宋体" w:cs="Arial"/>
                <w:bCs/>
                <w:szCs w:val="24"/>
              </w:rPr>
              <w:t>电    话：</w:t>
            </w:r>
          </w:p>
        </w:tc>
        <w:tc>
          <w:tcPr>
            <w:tcW w:w="3146" w:type="dxa"/>
          </w:tcPr>
          <w:p w14:paraId="55F80795">
            <w:pPr>
              <w:spacing w:line="360" w:lineRule="auto"/>
              <w:rPr>
                <w:rFonts w:ascii="宋体" w:hAnsi="宋体" w:cs="Arial"/>
                <w:bCs/>
                <w:szCs w:val="24"/>
              </w:rPr>
            </w:pPr>
          </w:p>
        </w:tc>
      </w:tr>
      <w:tr w14:paraId="2514F591">
        <w:tblPrEx>
          <w:tblCellMar>
            <w:top w:w="0" w:type="dxa"/>
            <w:left w:w="108" w:type="dxa"/>
            <w:bottom w:w="0" w:type="dxa"/>
            <w:right w:w="108" w:type="dxa"/>
          </w:tblCellMar>
        </w:tblPrEx>
        <w:trPr>
          <w:trHeight w:val="567" w:hRule="atLeast"/>
          <w:jc w:val="center"/>
        </w:trPr>
        <w:tc>
          <w:tcPr>
            <w:tcW w:w="1390" w:type="dxa"/>
          </w:tcPr>
          <w:p w14:paraId="7A620C2A">
            <w:pPr>
              <w:spacing w:line="360" w:lineRule="auto"/>
              <w:rPr>
                <w:rFonts w:ascii="宋体" w:hAnsi="宋体" w:cs="Arial"/>
                <w:bCs/>
                <w:szCs w:val="24"/>
              </w:rPr>
            </w:pPr>
            <w:r>
              <w:rPr>
                <w:rFonts w:hint="eastAsia" w:ascii="宋体" w:hAnsi="宋体" w:cs="Arial"/>
                <w:bCs/>
                <w:szCs w:val="24"/>
              </w:rPr>
              <w:t>传    真：</w:t>
            </w:r>
          </w:p>
        </w:tc>
        <w:tc>
          <w:tcPr>
            <w:tcW w:w="3146" w:type="dxa"/>
          </w:tcPr>
          <w:p w14:paraId="7E45473F">
            <w:pPr>
              <w:spacing w:line="360" w:lineRule="auto"/>
              <w:rPr>
                <w:rFonts w:ascii="宋体" w:hAnsi="宋体" w:cs="Arial"/>
                <w:bCs/>
                <w:szCs w:val="24"/>
              </w:rPr>
            </w:pPr>
          </w:p>
        </w:tc>
        <w:tc>
          <w:tcPr>
            <w:tcW w:w="1390" w:type="dxa"/>
          </w:tcPr>
          <w:p w14:paraId="7B948DB7">
            <w:pPr>
              <w:spacing w:line="360" w:lineRule="auto"/>
              <w:rPr>
                <w:rFonts w:ascii="宋体" w:hAnsi="宋体" w:cs="Arial"/>
                <w:bCs/>
                <w:szCs w:val="24"/>
              </w:rPr>
            </w:pPr>
            <w:r>
              <w:rPr>
                <w:rFonts w:hint="eastAsia" w:ascii="宋体" w:hAnsi="宋体" w:cs="Arial"/>
                <w:bCs/>
                <w:szCs w:val="24"/>
              </w:rPr>
              <w:t>传    真：</w:t>
            </w:r>
          </w:p>
        </w:tc>
        <w:tc>
          <w:tcPr>
            <w:tcW w:w="3146" w:type="dxa"/>
          </w:tcPr>
          <w:p w14:paraId="7A7E798E">
            <w:pPr>
              <w:spacing w:line="360" w:lineRule="auto"/>
              <w:rPr>
                <w:rFonts w:ascii="宋体" w:hAnsi="宋体" w:cs="Arial"/>
                <w:bCs/>
                <w:szCs w:val="24"/>
              </w:rPr>
            </w:pPr>
          </w:p>
        </w:tc>
      </w:tr>
      <w:tr w14:paraId="4F88D7ED">
        <w:tblPrEx>
          <w:tblCellMar>
            <w:top w:w="0" w:type="dxa"/>
            <w:left w:w="108" w:type="dxa"/>
            <w:bottom w:w="0" w:type="dxa"/>
            <w:right w:w="108" w:type="dxa"/>
          </w:tblCellMar>
        </w:tblPrEx>
        <w:trPr>
          <w:trHeight w:val="567" w:hRule="atLeast"/>
          <w:jc w:val="center"/>
        </w:trPr>
        <w:tc>
          <w:tcPr>
            <w:tcW w:w="1390" w:type="dxa"/>
          </w:tcPr>
          <w:p w14:paraId="30396919">
            <w:pPr>
              <w:spacing w:line="360" w:lineRule="auto"/>
              <w:rPr>
                <w:rFonts w:ascii="宋体" w:hAnsi="宋体" w:cs="Arial"/>
                <w:bCs/>
                <w:szCs w:val="24"/>
              </w:rPr>
            </w:pPr>
            <w:r>
              <w:rPr>
                <w:rFonts w:hint="eastAsia" w:ascii="宋体" w:hAnsi="宋体" w:cs="Arial"/>
                <w:bCs/>
                <w:szCs w:val="24"/>
              </w:rPr>
              <w:t>签约日期：</w:t>
            </w:r>
          </w:p>
        </w:tc>
        <w:tc>
          <w:tcPr>
            <w:tcW w:w="3146" w:type="dxa"/>
          </w:tcPr>
          <w:p w14:paraId="3D00FF16">
            <w:pPr>
              <w:spacing w:line="360" w:lineRule="auto"/>
              <w:ind w:firstLine="210" w:firstLineChars="100"/>
              <w:rPr>
                <w:rFonts w:ascii="宋体" w:hAnsi="宋体" w:cs="Arial"/>
                <w:bCs/>
                <w:szCs w:val="24"/>
              </w:rPr>
            </w:pPr>
            <w:r>
              <w:rPr>
                <w:rFonts w:hint="eastAsia" w:ascii="宋体" w:hAnsi="宋体" w:cs="Arial"/>
                <w:bCs/>
                <w:szCs w:val="24"/>
              </w:rPr>
              <w:t xml:space="preserve">  年   月   日</w:t>
            </w:r>
          </w:p>
        </w:tc>
        <w:tc>
          <w:tcPr>
            <w:tcW w:w="1390" w:type="dxa"/>
          </w:tcPr>
          <w:p w14:paraId="4B9522FD">
            <w:pPr>
              <w:spacing w:line="360" w:lineRule="auto"/>
              <w:rPr>
                <w:rFonts w:ascii="宋体" w:hAnsi="宋体" w:cs="Arial"/>
                <w:bCs/>
                <w:szCs w:val="24"/>
              </w:rPr>
            </w:pPr>
            <w:r>
              <w:rPr>
                <w:rFonts w:hint="eastAsia" w:ascii="宋体" w:hAnsi="宋体" w:cs="Arial"/>
                <w:bCs/>
                <w:szCs w:val="24"/>
              </w:rPr>
              <w:t>签约日期：</w:t>
            </w:r>
          </w:p>
        </w:tc>
        <w:tc>
          <w:tcPr>
            <w:tcW w:w="3146" w:type="dxa"/>
          </w:tcPr>
          <w:p w14:paraId="437D8FD3">
            <w:pPr>
              <w:spacing w:line="360" w:lineRule="auto"/>
              <w:ind w:firstLine="210" w:firstLineChars="100"/>
              <w:rPr>
                <w:rFonts w:ascii="宋体" w:hAnsi="宋体" w:cs="Arial"/>
                <w:bCs/>
                <w:szCs w:val="24"/>
              </w:rPr>
            </w:pPr>
            <w:r>
              <w:rPr>
                <w:rFonts w:hint="eastAsia" w:ascii="宋体" w:hAnsi="宋体" w:cs="Arial"/>
                <w:bCs/>
                <w:szCs w:val="24"/>
              </w:rPr>
              <w:t xml:space="preserve">  年   月   日</w:t>
            </w:r>
          </w:p>
        </w:tc>
      </w:tr>
    </w:tbl>
    <w:p w14:paraId="61A715BA">
      <w:pPr>
        <w:tabs>
          <w:tab w:val="left" w:pos="840"/>
          <w:tab w:val="left" w:pos="1260"/>
          <w:tab w:val="left" w:pos="1440"/>
        </w:tabs>
        <w:spacing w:line="360" w:lineRule="auto"/>
        <w:rPr>
          <w:rFonts w:ascii="宋体" w:hAnsi="宋体"/>
          <w:bCs/>
          <w:szCs w:val="24"/>
        </w:rPr>
      </w:pPr>
      <w:r>
        <w:rPr>
          <w:rFonts w:hint="eastAsia" w:ascii="宋体" w:hAnsi="宋体"/>
          <w:bCs/>
          <w:szCs w:val="24"/>
        </w:rPr>
        <w:t>附件 1</w:t>
      </w:r>
    </w:p>
    <w:p w14:paraId="6CF3CDEE">
      <w:pPr>
        <w:tabs>
          <w:tab w:val="left" w:pos="840"/>
          <w:tab w:val="left" w:pos="1260"/>
          <w:tab w:val="left" w:pos="1440"/>
        </w:tabs>
        <w:spacing w:line="360" w:lineRule="auto"/>
        <w:rPr>
          <w:rFonts w:ascii="宋体" w:hAnsi="宋体"/>
          <w:bCs/>
          <w:szCs w:val="24"/>
        </w:rPr>
      </w:pPr>
      <w:r>
        <w:rPr>
          <w:rFonts w:hint="eastAsia" w:ascii="宋体" w:hAnsi="宋体"/>
          <w:bCs/>
          <w:szCs w:val="24"/>
        </w:rPr>
        <w:t>维保服务合同一般条款</w:t>
      </w:r>
    </w:p>
    <w:p w14:paraId="5D755205">
      <w:pPr>
        <w:tabs>
          <w:tab w:val="left" w:pos="840"/>
          <w:tab w:val="left" w:pos="1260"/>
          <w:tab w:val="left" w:pos="1440"/>
        </w:tabs>
        <w:spacing w:line="360" w:lineRule="auto"/>
        <w:rPr>
          <w:rFonts w:ascii="宋体" w:hAnsi="宋体"/>
          <w:bCs/>
          <w:szCs w:val="24"/>
        </w:rPr>
      </w:pPr>
      <w:r>
        <w:rPr>
          <w:rFonts w:hint="eastAsia" w:ascii="宋体" w:hAnsi="宋体"/>
          <w:bCs/>
          <w:szCs w:val="24"/>
        </w:rPr>
        <w:t>甲方：</w:t>
      </w:r>
    </w:p>
    <w:p w14:paraId="1A897446">
      <w:pPr>
        <w:tabs>
          <w:tab w:val="left" w:pos="840"/>
          <w:tab w:val="left" w:pos="1260"/>
          <w:tab w:val="left" w:pos="1440"/>
        </w:tabs>
        <w:spacing w:line="360" w:lineRule="auto"/>
        <w:rPr>
          <w:rFonts w:ascii="宋体" w:hAnsi="宋体"/>
          <w:bCs/>
          <w:szCs w:val="24"/>
        </w:rPr>
      </w:pPr>
      <w:r>
        <w:rPr>
          <w:rFonts w:hint="eastAsia" w:ascii="宋体" w:hAnsi="宋体"/>
          <w:bCs/>
          <w:szCs w:val="24"/>
        </w:rPr>
        <w:t>乙方：</w:t>
      </w:r>
    </w:p>
    <w:p w14:paraId="18CA230D">
      <w:pPr>
        <w:tabs>
          <w:tab w:val="left" w:pos="840"/>
          <w:tab w:val="left" w:pos="1260"/>
          <w:tab w:val="left" w:pos="1440"/>
        </w:tabs>
        <w:spacing w:line="360" w:lineRule="auto"/>
        <w:rPr>
          <w:rFonts w:ascii="宋体" w:hAnsi="宋体"/>
          <w:bCs/>
          <w:szCs w:val="24"/>
        </w:rPr>
      </w:pPr>
      <w:r>
        <w:rPr>
          <w:rFonts w:hint="eastAsia" w:ascii="宋体" w:hAnsi="宋体"/>
          <w:bCs/>
          <w:szCs w:val="24"/>
        </w:rPr>
        <w:t>1.  甲方义务</w:t>
      </w:r>
    </w:p>
    <w:p w14:paraId="323D3059">
      <w:pPr>
        <w:tabs>
          <w:tab w:val="left" w:pos="840"/>
          <w:tab w:val="left" w:pos="1260"/>
          <w:tab w:val="left" w:pos="1440"/>
        </w:tabs>
        <w:spacing w:line="360" w:lineRule="auto"/>
        <w:rPr>
          <w:rFonts w:ascii="宋体" w:hAnsi="宋体"/>
          <w:bCs/>
          <w:szCs w:val="24"/>
        </w:rPr>
      </w:pPr>
      <w:r>
        <w:rPr>
          <w:rFonts w:hint="eastAsia" w:ascii="宋体" w:hAnsi="宋体"/>
          <w:bCs/>
          <w:szCs w:val="24"/>
        </w:rPr>
        <w:t>1.1 甲方应保证设备运行的基本要求和基本条件，并严格按照设备操作手册的要求进行日常操作和日常维护。设备运行的基本要求指医疗设备安置区域内满足设备运行功能的基本条件(如空调、冷却水、压缩空气、电源供应等)。如果由于甲方的原因造成设备的不正常运转或乙方无法提供维修，乙方将不承担责任。</w:t>
      </w:r>
    </w:p>
    <w:p w14:paraId="425B754B">
      <w:pPr>
        <w:tabs>
          <w:tab w:val="left" w:pos="840"/>
          <w:tab w:val="left" w:pos="1260"/>
          <w:tab w:val="left" w:pos="1440"/>
        </w:tabs>
        <w:spacing w:line="360" w:lineRule="auto"/>
        <w:rPr>
          <w:rFonts w:ascii="宋体" w:hAnsi="宋体"/>
          <w:bCs/>
          <w:szCs w:val="24"/>
        </w:rPr>
      </w:pPr>
      <w:r>
        <w:rPr>
          <w:rFonts w:hint="eastAsia" w:ascii="宋体" w:hAnsi="宋体"/>
          <w:bCs/>
          <w:szCs w:val="24"/>
        </w:rPr>
        <w:t>1.2 甲方应保证签订《维保服务合同》(以下简称“合同或本合同”)时，设备为原厂配置并处于良好的运行状态，如甲方隐瞒其故障或改用非原厂认证配置， 乙方有权解除合同。乙方在签约后进行第一次全面维保检修后，视为知悉本合同设备状态，在检修后5个工作日内未提出设备与甲方承诺状态不一致的异议的，视为认可甲方设备的初始状态为正常。</w:t>
      </w:r>
    </w:p>
    <w:p w14:paraId="3302A49A">
      <w:pPr>
        <w:tabs>
          <w:tab w:val="left" w:pos="840"/>
          <w:tab w:val="left" w:pos="1260"/>
          <w:tab w:val="left" w:pos="1440"/>
        </w:tabs>
        <w:spacing w:line="360" w:lineRule="auto"/>
        <w:rPr>
          <w:rFonts w:ascii="宋体" w:hAnsi="宋体"/>
          <w:bCs/>
          <w:szCs w:val="24"/>
        </w:rPr>
      </w:pPr>
      <w:r>
        <w:rPr>
          <w:rFonts w:hint="eastAsia" w:ascii="宋体" w:hAnsi="宋体"/>
          <w:bCs/>
          <w:szCs w:val="24"/>
        </w:rPr>
        <w:t>1.3 设备的任何改进、故障排除和配置的扩展以及为此所需的零备件必须且只能由乙方或乙方授权的甲方人员或乙方授权且经甲方认可的第三方施行。</w:t>
      </w:r>
    </w:p>
    <w:p w14:paraId="57D7B25A">
      <w:pPr>
        <w:tabs>
          <w:tab w:val="left" w:pos="840"/>
          <w:tab w:val="left" w:pos="1260"/>
          <w:tab w:val="left" w:pos="1440"/>
        </w:tabs>
        <w:spacing w:line="360" w:lineRule="auto"/>
        <w:rPr>
          <w:rFonts w:ascii="宋体" w:hAnsi="宋体"/>
          <w:bCs/>
          <w:szCs w:val="24"/>
        </w:rPr>
      </w:pPr>
      <w:r>
        <w:rPr>
          <w:rFonts w:hint="eastAsia" w:ascii="宋体" w:hAnsi="宋体"/>
          <w:bCs/>
          <w:szCs w:val="24"/>
        </w:rPr>
        <w:t>1.4 在对合同项下的设备进行维修保养时，甲方应向乙方提供维修保养的条件，包括但不限于腾出该设备。</w:t>
      </w:r>
    </w:p>
    <w:p w14:paraId="50B2EB52">
      <w:pPr>
        <w:tabs>
          <w:tab w:val="left" w:pos="840"/>
          <w:tab w:val="left" w:pos="1260"/>
          <w:tab w:val="left" w:pos="1440"/>
        </w:tabs>
        <w:spacing w:line="360" w:lineRule="auto"/>
        <w:rPr>
          <w:rFonts w:ascii="宋体" w:hAnsi="宋体"/>
          <w:bCs/>
          <w:szCs w:val="24"/>
        </w:rPr>
      </w:pPr>
      <w:r>
        <w:rPr>
          <w:rFonts w:hint="eastAsia" w:ascii="宋体" w:hAnsi="宋体"/>
          <w:bCs/>
          <w:szCs w:val="24"/>
        </w:rPr>
        <w:t>1.5 甲方应在新备件更换后的三日内将旧备件退还给乙方或乙方授权的公司，若因甲方原因不能退还旧备件，甲方应额外向乙方支付新备件价格的50%作为补偿。</w:t>
      </w:r>
    </w:p>
    <w:p w14:paraId="4A8025A4">
      <w:pPr>
        <w:tabs>
          <w:tab w:val="left" w:pos="840"/>
          <w:tab w:val="left" w:pos="1260"/>
          <w:tab w:val="left" w:pos="1440"/>
        </w:tabs>
        <w:spacing w:line="360" w:lineRule="auto"/>
        <w:rPr>
          <w:rFonts w:ascii="宋体" w:hAnsi="宋体"/>
          <w:bCs/>
          <w:szCs w:val="24"/>
        </w:rPr>
      </w:pPr>
      <w:r>
        <w:rPr>
          <w:rFonts w:hint="eastAsia" w:ascii="宋体" w:hAnsi="宋体"/>
          <w:bCs/>
          <w:szCs w:val="24"/>
        </w:rPr>
        <w:t>1.6 合同项下的设备，必</w:t>
      </w:r>
      <w:r>
        <w:rPr>
          <w:rFonts w:hint="eastAsia" w:ascii="宋体" w:hAnsi="宋体"/>
          <w:bCs/>
          <w:szCs w:val="24"/>
          <w:lang w:val="en-US" w:eastAsia="zh-CN"/>
        </w:rPr>
        <w:t>须</w:t>
      </w:r>
      <w:r>
        <w:rPr>
          <w:rFonts w:hint="eastAsia" w:ascii="宋体" w:hAnsi="宋体"/>
          <w:bCs/>
          <w:szCs w:val="24"/>
        </w:rPr>
        <w:t>在乙方执行质量检测后方可入保。</w:t>
      </w:r>
    </w:p>
    <w:p w14:paraId="1276CD5D">
      <w:pPr>
        <w:tabs>
          <w:tab w:val="left" w:pos="840"/>
          <w:tab w:val="left" w:pos="1260"/>
          <w:tab w:val="left" w:pos="1440"/>
        </w:tabs>
        <w:spacing w:line="360" w:lineRule="auto"/>
        <w:rPr>
          <w:rFonts w:ascii="宋体" w:hAnsi="宋体"/>
          <w:bCs/>
          <w:szCs w:val="24"/>
        </w:rPr>
      </w:pPr>
      <w:r>
        <w:rPr>
          <w:rFonts w:hint="eastAsia" w:ascii="宋体" w:hAnsi="宋体"/>
          <w:bCs/>
          <w:szCs w:val="24"/>
        </w:rPr>
        <w:t>1.7 甲方应向乙方提供维修保养所有必要的文件、数据和信息以便乙方发现和修理任何设备故障。因履行本合同之必要，乙方可能收集的文件、数据和信息主要包括：</w:t>
      </w:r>
    </w:p>
    <w:p w14:paraId="6E1C7486">
      <w:pPr>
        <w:tabs>
          <w:tab w:val="left" w:pos="840"/>
          <w:tab w:val="left" w:pos="1260"/>
          <w:tab w:val="left" w:pos="1440"/>
        </w:tabs>
        <w:spacing w:line="360" w:lineRule="auto"/>
        <w:rPr>
          <w:rFonts w:ascii="宋体" w:hAnsi="宋体"/>
          <w:bCs/>
          <w:szCs w:val="24"/>
        </w:rPr>
      </w:pPr>
      <w:r>
        <w:rPr>
          <w:rFonts w:hint="eastAsia" w:ascii="宋体" w:hAnsi="宋体"/>
          <w:bCs/>
          <w:szCs w:val="24"/>
        </w:rPr>
        <w:t>a)  甲方的名称、地址、联系人及联系方式；</w:t>
      </w:r>
    </w:p>
    <w:p w14:paraId="17280CE3">
      <w:pPr>
        <w:tabs>
          <w:tab w:val="left" w:pos="840"/>
          <w:tab w:val="left" w:pos="1260"/>
          <w:tab w:val="left" w:pos="1440"/>
        </w:tabs>
        <w:spacing w:line="360" w:lineRule="auto"/>
        <w:rPr>
          <w:rFonts w:ascii="宋体" w:hAnsi="宋体"/>
          <w:bCs/>
          <w:szCs w:val="24"/>
        </w:rPr>
      </w:pPr>
      <w:r>
        <w:rPr>
          <w:rFonts w:hint="eastAsia" w:ascii="宋体" w:hAnsi="宋体"/>
          <w:bCs/>
          <w:szCs w:val="24"/>
        </w:rPr>
        <w:t>b)  关键部件日志、服务日志、系统日志、设备实时运行日志(含报错信息和故障代码)；</w:t>
      </w:r>
    </w:p>
    <w:p w14:paraId="5DF9179D">
      <w:pPr>
        <w:tabs>
          <w:tab w:val="left" w:pos="840"/>
          <w:tab w:val="left" w:pos="1260"/>
          <w:tab w:val="left" w:pos="1440"/>
        </w:tabs>
        <w:spacing w:line="360" w:lineRule="auto"/>
        <w:rPr>
          <w:rFonts w:ascii="宋体" w:hAnsi="宋体"/>
          <w:bCs/>
          <w:szCs w:val="24"/>
        </w:rPr>
      </w:pPr>
      <w:r>
        <w:rPr>
          <w:rFonts w:hint="eastAsia" w:ascii="宋体" w:hAnsi="宋体"/>
          <w:bCs/>
          <w:szCs w:val="24"/>
        </w:rPr>
        <w:t>c)  关键部件监测诊断数据、系统矫正数据、甲方软件运行数据、系统参数；</w:t>
      </w:r>
    </w:p>
    <w:p w14:paraId="71D3896D">
      <w:pPr>
        <w:tabs>
          <w:tab w:val="left" w:pos="840"/>
          <w:tab w:val="left" w:pos="1260"/>
          <w:tab w:val="left" w:pos="1440"/>
        </w:tabs>
        <w:spacing w:line="360" w:lineRule="auto"/>
        <w:rPr>
          <w:rFonts w:ascii="宋体" w:hAnsi="宋体"/>
          <w:bCs/>
          <w:szCs w:val="24"/>
        </w:rPr>
      </w:pPr>
      <w:r>
        <w:rPr>
          <w:rFonts w:hint="eastAsia" w:ascii="宋体" w:hAnsi="宋体"/>
          <w:bCs/>
          <w:szCs w:val="24"/>
        </w:rPr>
        <w:t>d)  配置、软件版本、补丁、许可、网络设置、医疗设备服务历史；</w:t>
      </w:r>
    </w:p>
    <w:p w14:paraId="5B13F2CD">
      <w:pPr>
        <w:tabs>
          <w:tab w:val="left" w:pos="840"/>
          <w:tab w:val="left" w:pos="1260"/>
          <w:tab w:val="left" w:pos="1440"/>
        </w:tabs>
        <w:spacing w:line="360" w:lineRule="auto"/>
        <w:rPr>
          <w:rFonts w:ascii="宋体" w:hAnsi="宋体"/>
          <w:bCs/>
          <w:szCs w:val="24"/>
        </w:rPr>
      </w:pPr>
      <w:r>
        <w:rPr>
          <w:rFonts w:hint="eastAsia" w:ascii="宋体" w:hAnsi="宋体"/>
          <w:bCs/>
          <w:szCs w:val="24"/>
        </w:rPr>
        <w:t>e)  各类任务的执行顺序，使用的应用/许可及其交互作用；</w:t>
      </w:r>
    </w:p>
    <w:p w14:paraId="797CE956">
      <w:pPr>
        <w:tabs>
          <w:tab w:val="left" w:pos="840"/>
          <w:tab w:val="left" w:pos="1260"/>
          <w:tab w:val="left" w:pos="1440"/>
        </w:tabs>
        <w:spacing w:line="360" w:lineRule="auto"/>
        <w:rPr>
          <w:rFonts w:ascii="宋体" w:hAnsi="宋体"/>
          <w:bCs/>
          <w:szCs w:val="24"/>
        </w:rPr>
      </w:pPr>
      <w:r>
        <w:rPr>
          <w:rFonts w:hint="eastAsia" w:ascii="宋体" w:hAnsi="宋体"/>
          <w:bCs/>
          <w:szCs w:val="24"/>
        </w:rPr>
        <w:t>f)  为维修影像故障目的而收集的医疗影像信息(该等情形下相关的数据处理应当符合本《维保服务合同一般条款》的第4条约定)。</w:t>
      </w:r>
    </w:p>
    <w:p w14:paraId="03C592A3">
      <w:pPr>
        <w:tabs>
          <w:tab w:val="left" w:pos="840"/>
          <w:tab w:val="left" w:pos="1260"/>
          <w:tab w:val="left" w:pos="1440"/>
        </w:tabs>
        <w:spacing w:line="360" w:lineRule="auto"/>
        <w:rPr>
          <w:rFonts w:ascii="宋体" w:hAnsi="宋体"/>
          <w:bCs/>
          <w:szCs w:val="24"/>
        </w:rPr>
      </w:pPr>
      <w:r>
        <w:rPr>
          <w:rFonts w:hint="eastAsia" w:ascii="宋体" w:hAnsi="宋体"/>
          <w:bCs/>
          <w:szCs w:val="24"/>
        </w:rPr>
        <w:t>1.8 甲方应在乙方每次提供维修服务后确认维修效果并签署验收单。</w:t>
      </w:r>
    </w:p>
    <w:p w14:paraId="09968A4C">
      <w:pPr>
        <w:tabs>
          <w:tab w:val="left" w:pos="840"/>
          <w:tab w:val="left" w:pos="1260"/>
          <w:tab w:val="left" w:pos="1440"/>
        </w:tabs>
        <w:spacing w:line="360" w:lineRule="auto"/>
        <w:rPr>
          <w:rFonts w:ascii="宋体" w:hAnsi="宋体"/>
          <w:bCs/>
          <w:szCs w:val="24"/>
        </w:rPr>
      </w:pPr>
      <w:r>
        <w:rPr>
          <w:rFonts w:hint="eastAsia" w:ascii="宋体" w:hAnsi="宋体"/>
          <w:bCs/>
          <w:szCs w:val="24"/>
        </w:rPr>
        <w:t>甲方需提供安全良好的维保环境，以确保乙方技术人员的人身安全。</w:t>
      </w:r>
    </w:p>
    <w:p w14:paraId="445A41E4">
      <w:pPr>
        <w:tabs>
          <w:tab w:val="left" w:pos="840"/>
          <w:tab w:val="left" w:pos="1260"/>
          <w:tab w:val="left" w:pos="1440"/>
        </w:tabs>
        <w:spacing w:line="360" w:lineRule="auto"/>
        <w:rPr>
          <w:rFonts w:ascii="宋体" w:hAnsi="宋体"/>
          <w:bCs/>
          <w:szCs w:val="24"/>
        </w:rPr>
      </w:pPr>
      <w:r>
        <w:rPr>
          <w:rFonts w:hint="eastAsia" w:ascii="宋体" w:hAnsi="宋体"/>
          <w:bCs/>
          <w:szCs w:val="24"/>
        </w:rPr>
        <w:t>1.9 若本合同提供远程维修服务，甲方应当确保为远程维修服务提供安全稳定的网络环境以及用户关于远程接入和数据传输的必要授权。</w:t>
      </w:r>
    </w:p>
    <w:p w14:paraId="052C7ADB">
      <w:pPr>
        <w:tabs>
          <w:tab w:val="left" w:pos="840"/>
          <w:tab w:val="left" w:pos="1260"/>
          <w:tab w:val="left" w:pos="1440"/>
        </w:tabs>
        <w:spacing w:line="360" w:lineRule="auto"/>
        <w:rPr>
          <w:rFonts w:ascii="宋体" w:hAnsi="宋体"/>
          <w:bCs/>
          <w:szCs w:val="24"/>
        </w:rPr>
      </w:pPr>
      <w:r>
        <w:rPr>
          <w:rFonts w:hint="eastAsia" w:ascii="宋体" w:hAnsi="宋体"/>
          <w:bCs/>
          <w:szCs w:val="24"/>
        </w:rPr>
        <w:t>2.  乙方义务</w:t>
      </w:r>
    </w:p>
    <w:p w14:paraId="26964395">
      <w:pPr>
        <w:tabs>
          <w:tab w:val="left" w:pos="840"/>
          <w:tab w:val="left" w:pos="1260"/>
          <w:tab w:val="left" w:pos="1440"/>
        </w:tabs>
        <w:spacing w:line="360" w:lineRule="auto"/>
        <w:rPr>
          <w:rFonts w:ascii="宋体" w:hAnsi="宋体"/>
          <w:bCs/>
          <w:szCs w:val="24"/>
        </w:rPr>
      </w:pPr>
      <w:r>
        <w:rPr>
          <w:rFonts w:hint="eastAsia" w:ascii="宋体" w:hAnsi="宋体"/>
          <w:bCs/>
          <w:szCs w:val="24"/>
        </w:rPr>
        <w:t>2.1 乙方在规定的常规正常工作时间内为甲方提供维保服务。</w:t>
      </w:r>
    </w:p>
    <w:p w14:paraId="1239D093">
      <w:pPr>
        <w:tabs>
          <w:tab w:val="left" w:pos="840"/>
          <w:tab w:val="left" w:pos="1260"/>
          <w:tab w:val="left" w:pos="1440"/>
        </w:tabs>
        <w:spacing w:line="360" w:lineRule="auto"/>
        <w:rPr>
          <w:rFonts w:ascii="宋体" w:hAnsi="宋体"/>
          <w:bCs/>
          <w:szCs w:val="24"/>
        </w:rPr>
      </w:pPr>
      <w:r>
        <w:rPr>
          <w:rFonts w:hint="eastAsia" w:ascii="宋体" w:hAnsi="宋体"/>
          <w:bCs/>
          <w:szCs w:val="24"/>
        </w:rPr>
        <w:t>2.2 乙方负责合同项下所列设备的维修，包括为甲方提供在线支持、现场检修、零备件更换、预防性 保养以及为保障医疗设备的功能实施的技术改造和软件升级。乙方根据甲方需求响应的实际情况自行决定在线远程支持、上门现场服务或其他方式提供服务：</w:t>
      </w:r>
    </w:p>
    <w:p w14:paraId="386065C6">
      <w:pPr>
        <w:tabs>
          <w:tab w:val="left" w:pos="840"/>
          <w:tab w:val="left" w:pos="1260"/>
          <w:tab w:val="left" w:pos="1440"/>
        </w:tabs>
        <w:spacing w:line="360" w:lineRule="auto"/>
        <w:rPr>
          <w:rFonts w:ascii="宋体" w:hAnsi="宋体"/>
          <w:bCs/>
          <w:szCs w:val="24"/>
        </w:rPr>
      </w:pPr>
      <w:r>
        <w:rPr>
          <w:rFonts w:hint="eastAsia" w:ascii="宋体" w:hAnsi="宋体"/>
          <w:bCs/>
          <w:szCs w:val="24"/>
        </w:rPr>
        <w:t>a)  维修热线：     ，在上述第2.1条约定的正常维修时间内，乙方的响应时间为在收到甲方报修电话后2小时。响应时间指乙方使用各种可能的手段或方式开始排除医疗设备故障的时间。</w:t>
      </w:r>
    </w:p>
    <w:p w14:paraId="4AC338F4">
      <w:pPr>
        <w:tabs>
          <w:tab w:val="left" w:pos="840"/>
          <w:tab w:val="left" w:pos="1260"/>
          <w:tab w:val="left" w:pos="1440"/>
        </w:tabs>
        <w:spacing w:line="360" w:lineRule="auto"/>
        <w:rPr>
          <w:rFonts w:ascii="宋体" w:hAnsi="宋体"/>
          <w:bCs/>
          <w:szCs w:val="24"/>
        </w:rPr>
      </w:pPr>
      <w:r>
        <w:rPr>
          <w:rFonts w:hint="eastAsia" w:ascii="宋体" w:hAnsi="宋体"/>
          <w:bCs/>
          <w:szCs w:val="24"/>
        </w:rPr>
        <w:t>b)  乙方资深工程师提供在线技术支持，协助甲方的工程师分析和判断设备故障，及时制定维修方案。</w:t>
      </w:r>
    </w:p>
    <w:p w14:paraId="05CE725D">
      <w:pPr>
        <w:tabs>
          <w:tab w:val="left" w:pos="840"/>
          <w:tab w:val="left" w:pos="1260"/>
          <w:tab w:val="left" w:pos="1440"/>
        </w:tabs>
        <w:spacing w:line="360" w:lineRule="auto"/>
        <w:rPr>
          <w:rFonts w:ascii="宋体" w:hAnsi="宋体"/>
          <w:bCs/>
          <w:szCs w:val="24"/>
        </w:rPr>
      </w:pPr>
      <w:r>
        <w:rPr>
          <w:rFonts w:hint="eastAsia" w:ascii="宋体" w:hAnsi="宋体"/>
          <w:bCs/>
          <w:szCs w:val="24"/>
        </w:rPr>
        <w:t>c)  乙方在收到甲方的报修通知后应立即派遣工程师前往现场维修：有乙方维修点的城市，工程师将在12小时之内到达现场；无乙方维修点的城市，工程师保证在24小时之内到达现场。维保服务由乙方认证合格的专业工程师或经乙方培训的特约维修团队提供。</w:t>
      </w:r>
    </w:p>
    <w:p w14:paraId="462C22B6">
      <w:pPr>
        <w:tabs>
          <w:tab w:val="left" w:pos="840"/>
          <w:tab w:val="left" w:pos="1260"/>
          <w:tab w:val="left" w:pos="1440"/>
        </w:tabs>
        <w:spacing w:line="360" w:lineRule="auto"/>
        <w:rPr>
          <w:rFonts w:ascii="宋体" w:hAnsi="宋体"/>
          <w:bCs/>
          <w:szCs w:val="24"/>
        </w:rPr>
      </w:pPr>
      <w:r>
        <w:rPr>
          <w:rFonts w:hint="eastAsia" w:ascii="宋体" w:hAnsi="宋体"/>
          <w:bCs/>
          <w:szCs w:val="24"/>
        </w:rPr>
        <w:t>d)  在合同有效期内，乙方将对本合同服务范围内的设备进行合同范围内的维保服务，维修中更换下来的废旧零配件属于乙方所有。</w:t>
      </w:r>
    </w:p>
    <w:p w14:paraId="7791F00C">
      <w:pPr>
        <w:tabs>
          <w:tab w:val="left" w:pos="840"/>
          <w:tab w:val="left" w:pos="1260"/>
          <w:tab w:val="left" w:pos="1440"/>
        </w:tabs>
        <w:spacing w:line="360" w:lineRule="auto"/>
        <w:rPr>
          <w:rFonts w:ascii="宋体" w:hAnsi="宋体"/>
          <w:bCs/>
          <w:szCs w:val="24"/>
        </w:rPr>
      </w:pPr>
      <w:r>
        <w:rPr>
          <w:rFonts w:hint="eastAsia" w:ascii="宋体" w:hAnsi="宋体"/>
          <w:bCs/>
          <w:szCs w:val="24"/>
        </w:rPr>
        <w:t>2.3 在合同期内，保证设备每年 95%的开机率(停机时间少于5%)，计算标准为一年365天；如果此开机率因乙方原因没有达到，则对于开机率，每低于一天(不足一天按一天计算)，合同期限将相应延长2天。停机时间指系统所有计划外的等待时间，即从整个系统停止运行，不能进行病人操作开始，到可再次运行为止。所有保养时间不计入停机时间。</w:t>
      </w:r>
    </w:p>
    <w:p w14:paraId="712BAF61">
      <w:pPr>
        <w:tabs>
          <w:tab w:val="left" w:pos="840"/>
          <w:tab w:val="left" w:pos="1260"/>
          <w:tab w:val="left" w:pos="1440"/>
        </w:tabs>
        <w:spacing w:line="360" w:lineRule="auto"/>
        <w:rPr>
          <w:rFonts w:ascii="宋体" w:hAnsi="宋体"/>
          <w:bCs/>
          <w:szCs w:val="24"/>
        </w:rPr>
      </w:pPr>
      <w:r>
        <w:rPr>
          <w:rFonts w:hint="eastAsia" w:ascii="宋体" w:hAnsi="宋体"/>
          <w:bCs/>
          <w:szCs w:val="24"/>
        </w:rPr>
        <w:t>2.4 乙方保证其更换的备件在更换时设计和工艺无缺陷，且符合原厂性能指标要求； 如有不符，乙方应负责更换。</w:t>
      </w:r>
    </w:p>
    <w:p w14:paraId="7062F768">
      <w:pPr>
        <w:tabs>
          <w:tab w:val="left" w:pos="840"/>
          <w:tab w:val="left" w:pos="1260"/>
          <w:tab w:val="left" w:pos="1440"/>
        </w:tabs>
        <w:spacing w:line="360" w:lineRule="auto"/>
        <w:rPr>
          <w:rFonts w:ascii="宋体" w:hAnsi="宋体"/>
          <w:bCs/>
          <w:szCs w:val="24"/>
        </w:rPr>
      </w:pPr>
      <w:r>
        <w:rPr>
          <w:rFonts w:hint="eastAsia" w:ascii="宋体" w:hAnsi="宋体"/>
          <w:bCs/>
          <w:szCs w:val="24"/>
        </w:rPr>
        <w:t>3.  保密</w:t>
      </w:r>
    </w:p>
    <w:p w14:paraId="6BAA97A9">
      <w:pPr>
        <w:tabs>
          <w:tab w:val="left" w:pos="840"/>
          <w:tab w:val="left" w:pos="1260"/>
          <w:tab w:val="left" w:pos="1440"/>
        </w:tabs>
        <w:spacing w:line="360" w:lineRule="auto"/>
        <w:rPr>
          <w:rFonts w:ascii="宋体" w:hAnsi="宋体"/>
          <w:bCs/>
          <w:szCs w:val="24"/>
        </w:rPr>
      </w:pPr>
      <w:r>
        <w:rPr>
          <w:rFonts w:hint="eastAsia" w:ascii="宋体" w:hAnsi="宋体"/>
          <w:bCs/>
          <w:szCs w:val="24"/>
        </w:rPr>
        <w:t>3.1 合同双方承诺并同意：对于一方在磋商、签订、履行本合同的整个过程中获得另一方的商务、财务、 技术、产品的信息、用户资料或其他标明保密的文件或信息的内容(以下简称“保密信息”) 将采取合理的保密措施进行保密。</w:t>
      </w:r>
    </w:p>
    <w:p w14:paraId="6136C099">
      <w:pPr>
        <w:tabs>
          <w:tab w:val="left" w:pos="840"/>
          <w:tab w:val="left" w:pos="1260"/>
          <w:tab w:val="left" w:pos="1440"/>
        </w:tabs>
        <w:spacing w:line="360" w:lineRule="auto"/>
        <w:rPr>
          <w:rFonts w:ascii="宋体" w:hAnsi="宋体"/>
          <w:bCs/>
          <w:szCs w:val="24"/>
        </w:rPr>
      </w:pPr>
      <w:r>
        <w:rPr>
          <w:rFonts w:hint="eastAsia" w:ascii="宋体" w:hAnsi="宋体"/>
          <w:bCs/>
          <w:szCs w:val="24"/>
        </w:rPr>
        <w:t>3.2 除为实现本合同的目的外，保密信息接收方(以下简称“接收方”) 不得复制或使用保密信息，接收方仅可向其确有知悉必要的雇员披露另一方提供的保密信息，但同时须确保其雇员遵守本条规定的保密义务。</w:t>
      </w:r>
    </w:p>
    <w:p w14:paraId="00226260">
      <w:pPr>
        <w:tabs>
          <w:tab w:val="left" w:pos="840"/>
          <w:tab w:val="left" w:pos="1260"/>
          <w:tab w:val="left" w:pos="1440"/>
        </w:tabs>
        <w:spacing w:line="360" w:lineRule="auto"/>
        <w:rPr>
          <w:rFonts w:ascii="宋体" w:hAnsi="宋体"/>
          <w:bCs/>
          <w:szCs w:val="24"/>
        </w:rPr>
      </w:pPr>
      <w:r>
        <w:rPr>
          <w:rFonts w:hint="eastAsia" w:ascii="宋体" w:hAnsi="宋体"/>
          <w:bCs/>
          <w:szCs w:val="24"/>
        </w:rPr>
        <w:t>3.3 除本协议另有规定外，接收方未经披露方事先的书面同意，不得披露、反向工程、反向组装、重建任何保密信息或向任何第三方提供任何保密信息。</w:t>
      </w:r>
    </w:p>
    <w:p w14:paraId="12E40C64">
      <w:pPr>
        <w:tabs>
          <w:tab w:val="left" w:pos="840"/>
          <w:tab w:val="left" w:pos="1260"/>
          <w:tab w:val="left" w:pos="1440"/>
        </w:tabs>
        <w:spacing w:line="360" w:lineRule="auto"/>
        <w:rPr>
          <w:rFonts w:ascii="宋体" w:hAnsi="宋体"/>
          <w:bCs/>
          <w:szCs w:val="24"/>
        </w:rPr>
      </w:pPr>
      <w:r>
        <w:rPr>
          <w:rFonts w:hint="eastAsia" w:ascii="宋体" w:hAnsi="宋体"/>
          <w:bCs/>
          <w:szCs w:val="24"/>
        </w:rPr>
        <w:t>3.4 本条约定的保密义务期限至保密信息公开时为止。保密义务在合同期满、解除或终止后仍然有效。</w:t>
      </w:r>
    </w:p>
    <w:p w14:paraId="2A604C04">
      <w:pPr>
        <w:tabs>
          <w:tab w:val="left" w:pos="840"/>
          <w:tab w:val="left" w:pos="1260"/>
          <w:tab w:val="left" w:pos="1440"/>
        </w:tabs>
        <w:spacing w:line="360" w:lineRule="auto"/>
        <w:rPr>
          <w:rFonts w:ascii="宋体" w:hAnsi="宋体"/>
          <w:bCs/>
          <w:szCs w:val="24"/>
        </w:rPr>
      </w:pPr>
      <w:r>
        <w:rPr>
          <w:rFonts w:hint="eastAsia" w:ascii="宋体" w:hAnsi="宋体"/>
          <w:bCs/>
          <w:szCs w:val="24"/>
        </w:rPr>
        <w:t>4.  网络安全与数据保护</w:t>
      </w:r>
    </w:p>
    <w:p w14:paraId="786DF39D">
      <w:pPr>
        <w:tabs>
          <w:tab w:val="left" w:pos="840"/>
          <w:tab w:val="left" w:pos="1260"/>
          <w:tab w:val="left" w:pos="1440"/>
        </w:tabs>
        <w:spacing w:line="360" w:lineRule="auto"/>
        <w:rPr>
          <w:rFonts w:ascii="宋体" w:hAnsi="宋体"/>
          <w:bCs/>
          <w:szCs w:val="24"/>
        </w:rPr>
      </w:pPr>
      <w:r>
        <w:rPr>
          <w:rFonts w:hint="eastAsia" w:ascii="宋体" w:hAnsi="宋体"/>
          <w:bCs/>
          <w:szCs w:val="24"/>
        </w:rPr>
        <w:t>4.1 甲方知悉乙方可因履行本协议之必要收集医疗影像信息(为避免歧义，患者影像信息的原 始图像应由甲方保存，设备仅提供短期存储功能)。基于最小必要原则， 甲方提供的影像 信息应当不包括直接或间接识别患者身份的个人信息， 例如患者的姓名、照片、出生日期、证件号码、联系方式、家庭住址、病历号、 CT/MR 具体的操作时间等。若前述个人信息的提供是必需的，甲方应当为传递个人信息的合法性创设前提条件(包括但不限于满足可适用的数据保护或网络安全法律法规的告知或同意)。该等情形下，各方作为独立的数据处理者对己方对个人信息的数据处理行为(包括但不限于收集、分享、 分析、处理和存储) 的合法性、合规性和规范性承担独立责任。</w:t>
      </w:r>
    </w:p>
    <w:p w14:paraId="49496D29">
      <w:pPr>
        <w:tabs>
          <w:tab w:val="left" w:pos="840"/>
          <w:tab w:val="left" w:pos="1260"/>
          <w:tab w:val="left" w:pos="1440"/>
        </w:tabs>
        <w:spacing w:line="360" w:lineRule="auto"/>
        <w:rPr>
          <w:rFonts w:ascii="宋体" w:hAnsi="宋体"/>
          <w:bCs/>
          <w:szCs w:val="24"/>
        </w:rPr>
      </w:pPr>
      <w:r>
        <w:rPr>
          <w:rFonts w:hint="eastAsia" w:ascii="宋体" w:hAnsi="宋体"/>
          <w:bCs/>
          <w:szCs w:val="24"/>
        </w:rPr>
        <w:t>4.2 基于全球共识，互联网可能受到黑客侵袭，不存在坚不可破的防火墙或安全措施。乙方尽力以合理措施应对可预见的网络攻击或数据泄露，并致力于持续提升设备的安全性能。为了能有效采取前述措施，甲方须及时提供必要的权限或许可，并对己方未经授权的行为或者不可预见的网络安全风险承担责任。乙方不保证其软件设备：1) 不含缺陷或错误；2) 免于互联网攻击或数据泄露； 3) 不会被恶意软件侵袭； 4)不存在安全漏洞； 5) 免于非授权入侵； 或 6) 无其他网络安全风险。如果设备发生任何疑似的网络安全事件或漏洞，甲方应当立即通知乙方并履行数据保护相关法律法规的通知义务。</w:t>
      </w:r>
    </w:p>
    <w:p w14:paraId="71E2587C">
      <w:pPr>
        <w:tabs>
          <w:tab w:val="left" w:pos="840"/>
          <w:tab w:val="left" w:pos="1260"/>
          <w:tab w:val="left" w:pos="1440"/>
        </w:tabs>
        <w:spacing w:line="360" w:lineRule="auto"/>
        <w:rPr>
          <w:rFonts w:ascii="宋体" w:hAnsi="宋体"/>
          <w:bCs/>
          <w:szCs w:val="24"/>
        </w:rPr>
      </w:pPr>
      <w:r>
        <w:rPr>
          <w:rFonts w:hint="eastAsia" w:ascii="宋体" w:hAnsi="宋体"/>
          <w:bCs/>
          <w:szCs w:val="24"/>
        </w:rPr>
        <w:t>4.3 任何一方因违反本条款而引起的另一方任何实际遭受的损害，应对另一方承担赔偿责任，如果因违反本条款而对数据主体或其他第三方造成损害事由，违约方应当保证守约方不受损害，且守约方有权追偿与违约 方责任相对应的赔偿部分。</w:t>
      </w:r>
    </w:p>
    <w:p w14:paraId="6A81FC5D">
      <w:pPr>
        <w:tabs>
          <w:tab w:val="left" w:pos="840"/>
          <w:tab w:val="left" w:pos="1260"/>
          <w:tab w:val="left" w:pos="1440"/>
        </w:tabs>
        <w:spacing w:line="360" w:lineRule="auto"/>
        <w:rPr>
          <w:rFonts w:ascii="宋体" w:hAnsi="宋体"/>
          <w:bCs/>
          <w:szCs w:val="24"/>
        </w:rPr>
      </w:pPr>
      <w:r>
        <w:rPr>
          <w:rFonts w:hint="eastAsia" w:ascii="宋体" w:hAnsi="宋体"/>
          <w:bCs/>
          <w:szCs w:val="24"/>
        </w:rPr>
        <w:t>5.  合同的变更和转让/转包</w:t>
      </w:r>
    </w:p>
    <w:p w14:paraId="082EF348">
      <w:pPr>
        <w:tabs>
          <w:tab w:val="left" w:pos="840"/>
          <w:tab w:val="left" w:pos="1260"/>
          <w:tab w:val="left" w:pos="1440"/>
        </w:tabs>
        <w:spacing w:line="360" w:lineRule="auto"/>
        <w:rPr>
          <w:rFonts w:ascii="宋体" w:hAnsi="宋体"/>
          <w:bCs/>
          <w:szCs w:val="24"/>
        </w:rPr>
      </w:pPr>
      <w:r>
        <w:rPr>
          <w:rFonts w:hint="eastAsia" w:ascii="宋体" w:hAnsi="宋体"/>
          <w:bCs/>
          <w:szCs w:val="24"/>
        </w:rPr>
        <w:t>合同有效期内，任何一方不得擅自变更合同的权利和义务，除非双方以书面的形式确认。但为履行本合同之目的且经甲方同意，乙方可以将本合同的部分或全部转让给其关联公司或授权的维修商。</w:t>
      </w:r>
    </w:p>
    <w:p w14:paraId="5D743F1F">
      <w:pPr>
        <w:tabs>
          <w:tab w:val="left" w:pos="840"/>
          <w:tab w:val="left" w:pos="1260"/>
          <w:tab w:val="left" w:pos="1440"/>
        </w:tabs>
        <w:spacing w:line="360" w:lineRule="auto"/>
        <w:rPr>
          <w:rFonts w:ascii="宋体" w:hAnsi="宋体"/>
          <w:bCs/>
          <w:szCs w:val="24"/>
        </w:rPr>
      </w:pPr>
      <w:r>
        <w:rPr>
          <w:rFonts w:hint="eastAsia" w:ascii="宋体" w:hAnsi="宋体"/>
          <w:bCs/>
          <w:szCs w:val="24"/>
        </w:rPr>
        <w:t>6.  不可抗力</w:t>
      </w:r>
    </w:p>
    <w:p w14:paraId="4B8D2643">
      <w:pPr>
        <w:tabs>
          <w:tab w:val="left" w:pos="840"/>
          <w:tab w:val="left" w:pos="1260"/>
          <w:tab w:val="left" w:pos="1440"/>
        </w:tabs>
        <w:spacing w:line="360" w:lineRule="auto"/>
        <w:rPr>
          <w:rFonts w:ascii="宋体" w:hAnsi="宋体"/>
          <w:bCs/>
          <w:szCs w:val="24"/>
        </w:rPr>
      </w:pPr>
      <w:r>
        <w:rPr>
          <w:rFonts w:hint="eastAsia" w:ascii="宋体" w:hAnsi="宋体"/>
          <w:bCs/>
          <w:szCs w:val="24"/>
        </w:rPr>
        <w:t>6.1 任何一方由于不可抗力的原因不能履行合同时，应及时向对方书面通知不能履行或者不能完全履行的理由，在不可抗力情形消除后3天内，遭遇不可抗力的一方应向对方提供有关主管机关的证明。对于合同的后续履行由双方根据实际情况协商确定(包括但不限于允许延期履行、部分履行或者不履行合同等)，并根据情况可部分或者全部免予承担违约责任。</w:t>
      </w:r>
    </w:p>
    <w:p w14:paraId="37A6A57B">
      <w:pPr>
        <w:tabs>
          <w:tab w:val="left" w:pos="840"/>
          <w:tab w:val="left" w:pos="1260"/>
          <w:tab w:val="left" w:pos="1440"/>
        </w:tabs>
        <w:spacing w:line="360" w:lineRule="auto"/>
        <w:rPr>
          <w:rFonts w:ascii="宋体" w:hAnsi="宋体"/>
          <w:bCs/>
          <w:szCs w:val="24"/>
        </w:rPr>
      </w:pPr>
      <w:r>
        <w:rPr>
          <w:rFonts w:hint="eastAsia" w:ascii="宋体" w:hAnsi="宋体"/>
          <w:bCs/>
          <w:szCs w:val="24"/>
        </w:rPr>
        <w:t>6.2 上述第 6.1 条所述“不可抗力”，是指不能预见、不能避免并不能克服的客观情况。</w:t>
      </w:r>
    </w:p>
    <w:p w14:paraId="3635CC41">
      <w:pPr>
        <w:tabs>
          <w:tab w:val="left" w:pos="840"/>
          <w:tab w:val="left" w:pos="1260"/>
          <w:tab w:val="left" w:pos="1440"/>
        </w:tabs>
        <w:spacing w:line="360" w:lineRule="auto"/>
        <w:rPr>
          <w:rFonts w:ascii="宋体" w:hAnsi="宋体"/>
          <w:bCs/>
          <w:szCs w:val="24"/>
        </w:rPr>
      </w:pPr>
      <w:r>
        <w:rPr>
          <w:rFonts w:hint="eastAsia" w:ascii="宋体" w:hAnsi="宋体"/>
          <w:bCs/>
          <w:szCs w:val="24"/>
        </w:rPr>
        <w:t>7.  合同终止/解除</w:t>
      </w:r>
    </w:p>
    <w:p w14:paraId="26037D1F">
      <w:pPr>
        <w:tabs>
          <w:tab w:val="left" w:pos="840"/>
          <w:tab w:val="left" w:pos="1260"/>
          <w:tab w:val="left" w:pos="1440"/>
        </w:tabs>
        <w:spacing w:line="360" w:lineRule="auto"/>
        <w:rPr>
          <w:rFonts w:ascii="宋体" w:hAnsi="宋体"/>
          <w:bCs/>
          <w:szCs w:val="24"/>
        </w:rPr>
      </w:pPr>
      <w:r>
        <w:rPr>
          <w:rFonts w:hint="eastAsia" w:ascii="宋体" w:hAnsi="宋体"/>
          <w:bCs/>
          <w:szCs w:val="24"/>
        </w:rPr>
        <w:t>7.1 在本合同有效期内，未经乙方书面许可，甲方擅自拆机、装机、移机、保养及更换来自第三方的零备件及耗材，乙方有权单方解除合同(合同自乙方发出解除通知时解除)，并向甲方收取合同解除前乙方已经提供服务的相应合同款项。</w:t>
      </w:r>
    </w:p>
    <w:p w14:paraId="30E1D640">
      <w:pPr>
        <w:tabs>
          <w:tab w:val="left" w:pos="840"/>
          <w:tab w:val="left" w:pos="1260"/>
          <w:tab w:val="left" w:pos="1440"/>
        </w:tabs>
        <w:spacing w:line="360" w:lineRule="auto"/>
        <w:rPr>
          <w:rFonts w:ascii="宋体" w:hAnsi="宋体"/>
          <w:bCs/>
          <w:szCs w:val="24"/>
        </w:rPr>
      </w:pPr>
      <w:r>
        <w:rPr>
          <w:rFonts w:hint="eastAsia" w:ascii="宋体" w:hAnsi="宋体"/>
          <w:bCs/>
          <w:szCs w:val="24"/>
        </w:rPr>
        <w:t>7.2 除合同另有约定外，如果合同双方中任意一方有合理原因需要终止或修改合同的，必须以书面形式提前一个月通知对方，经双方协商一致后，合同终止或修改方可生效。对终止或修改合同生效日期之前乙方已经提供的服务，甲方仍有义务支付相应合同款项。对于提前终止合同之前甲方已经支付的预付款项，乙方将根据合同实际存续的时间及收费标准扣除相应服务费后，将剩余的款项(若有) 无息返还给甲方。</w:t>
      </w:r>
    </w:p>
    <w:p w14:paraId="7CCB9D0F">
      <w:pPr>
        <w:tabs>
          <w:tab w:val="left" w:pos="840"/>
          <w:tab w:val="left" w:pos="1260"/>
          <w:tab w:val="left" w:pos="1440"/>
        </w:tabs>
        <w:spacing w:line="360" w:lineRule="auto"/>
        <w:rPr>
          <w:rFonts w:ascii="宋体" w:hAnsi="宋体"/>
          <w:bCs/>
          <w:szCs w:val="24"/>
        </w:rPr>
      </w:pPr>
      <w:r>
        <w:rPr>
          <w:rFonts w:hint="eastAsia" w:ascii="宋体" w:hAnsi="宋体"/>
          <w:bCs/>
          <w:szCs w:val="24"/>
        </w:rPr>
        <w:t>8.  责任限制</w:t>
      </w:r>
    </w:p>
    <w:p w14:paraId="6A8E7A3B">
      <w:pPr>
        <w:tabs>
          <w:tab w:val="left" w:pos="840"/>
          <w:tab w:val="left" w:pos="1260"/>
          <w:tab w:val="left" w:pos="1440"/>
        </w:tabs>
        <w:spacing w:line="360" w:lineRule="auto"/>
        <w:rPr>
          <w:rFonts w:ascii="宋体" w:hAnsi="宋体"/>
          <w:bCs/>
          <w:szCs w:val="24"/>
        </w:rPr>
      </w:pPr>
      <w:r>
        <w:rPr>
          <w:rFonts w:hint="eastAsia" w:ascii="宋体" w:hAnsi="宋体"/>
          <w:bCs/>
          <w:szCs w:val="24"/>
        </w:rPr>
        <w:t>8.1 在本合同下及与本合同履行相关的任何情形下，乙方对甲方承担的全部损害赔偿责任或者其他责任，不应超过本合同维保设备的价格，并应于本合同终止或届满之日终止。同时，乙方对于因甲方误用产品、意外事故、灾难及甲方的疏忽、滥用、不当的操作、数据泄露、测试或者安装以及甲方改装、调整或者维修引起的任何缺陷不承担责任。</w:t>
      </w:r>
    </w:p>
    <w:p w14:paraId="59C90218">
      <w:pPr>
        <w:tabs>
          <w:tab w:val="left" w:pos="840"/>
          <w:tab w:val="left" w:pos="1260"/>
          <w:tab w:val="left" w:pos="1440"/>
        </w:tabs>
        <w:spacing w:line="360" w:lineRule="auto"/>
        <w:rPr>
          <w:rFonts w:ascii="宋体" w:hAnsi="宋体"/>
          <w:bCs/>
          <w:szCs w:val="24"/>
        </w:rPr>
      </w:pPr>
      <w:r>
        <w:rPr>
          <w:rFonts w:hint="eastAsia" w:ascii="宋体" w:hAnsi="宋体"/>
          <w:bCs/>
          <w:szCs w:val="24"/>
        </w:rPr>
        <w:t>8.2 乙方在任何情形下不承担任何形式的伴随性、间接性、惩罚性或者特殊的损失或者损害赔偿，包括但不限于商业收入损失、商誉损失、利润损失或者停工期成本等。</w:t>
      </w:r>
    </w:p>
    <w:p w14:paraId="26B2E1A2">
      <w:pPr>
        <w:tabs>
          <w:tab w:val="left" w:pos="840"/>
          <w:tab w:val="left" w:pos="1260"/>
          <w:tab w:val="left" w:pos="1440"/>
        </w:tabs>
        <w:spacing w:line="360" w:lineRule="auto"/>
        <w:rPr>
          <w:rFonts w:ascii="宋体" w:hAnsi="宋体"/>
          <w:bCs/>
          <w:szCs w:val="24"/>
        </w:rPr>
      </w:pPr>
      <w:r>
        <w:rPr>
          <w:rFonts w:hint="eastAsia" w:ascii="宋体" w:hAnsi="宋体"/>
          <w:bCs/>
          <w:szCs w:val="24"/>
        </w:rPr>
        <w:t>8.3 本第 8 条约定应同样适用于：乙方的人员、乙方授权的服务商及其人员和被许可者及其人员。</w:t>
      </w:r>
    </w:p>
    <w:p w14:paraId="11AF6693">
      <w:pPr>
        <w:tabs>
          <w:tab w:val="left" w:pos="840"/>
          <w:tab w:val="left" w:pos="1260"/>
          <w:tab w:val="left" w:pos="1440"/>
        </w:tabs>
        <w:spacing w:line="360" w:lineRule="auto"/>
        <w:rPr>
          <w:rFonts w:ascii="宋体" w:hAnsi="宋体"/>
          <w:bCs/>
          <w:szCs w:val="24"/>
        </w:rPr>
      </w:pPr>
      <w:r>
        <w:rPr>
          <w:rFonts w:hint="eastAsia" w:ascii="宋体" w:hAnsi="宋体"/>
          <w:bCs/>
          <w:szCs w:val="24"/>
        </w:rPr>
        <w:t>8.4 如果合同包括对非乙方生产的产品(第三方产品) 的维修，乙方不对该第三方产品的故障、损坏对甲方造成的损失承担任何责任。第三方产品的维修(如照相机、洗片机、冷水机、不间断电源、精密空调、高压注射器等)，由第三方产品厂家或其指定的维修服务提供商提供第三方产品的维修保养服务。</w:t>
      </w:r>
    </w:p>
    <w:p w14:paraId="051B4B27">
      <w:pPr>
        <w:tabs>
          <w:tab w:val="left" w:pos="840"/>
          <w:tab w:val="left" w:pos="1260"/>
          <w:tab w:val="left" w:pos="1440"/>
        </w:tabs>
        <w:spacing w:line="360" w:lineRule="auto"/>
        <w:rPr>
          <w:rFonts w:ascii="宋体" w:hAnsi="宋体"/>
          <w:bCs/>
          <w:szCs w:val="24"/>
        </w:rPr>
      </w:pPr>
      <w:r>
        <w:rPr>
          <w:rFonts w:hint="eastAsia" w:ascii="宋体" w:hAnsi="宋体"/>
          <w:bCs/>
          <w:szCs w:val="24"/>
        </w:rPr>
        <w:t>9.  通知</w:t>
      </w:r>
    </w:p>
    <w:p w14:paraId="3CB100E4">
      <w:pPr>
        <w:tabs>
          <w:tab w:val="left" w:pos="840"/>
          <w:tab w:val="left" w:pos="1260"/>
          <w:tab w:val="left" w:pos="1440"/>
        </w:tabs>
        <w:spacing w:line="360" w:lineRule="auto"/>
        <w:rPr>
          <w:rFonts w:ascii="宋体" w:hAnsi="宋体"/>
          <w:bCs/>
          <w:szCs w:val="24"/>
        </w:rPr>
      </w:pPr>
      <w:r>
        <w:rPr>
          <w:rFonts w:hint="eastAsia" w:ascii="宋体" w:hAnsi="宋体"/>
          <w:bCs/>
          <w:szCs w:val="24"/>
        </w:rPr>
        <w:t>9.1 根据本合同需要发出的全部通知均采用书面形式，以亲自递交、邮寄或电子邮件等方式送达对方。双方在本合同文首中载明的地址适用于本合同相关的各类通知、协议、文书的送达，包括但不限于合同履行期间各类通知、协议等文件的送达，以及合同发生纠纷时相关文件和法律文书的送达。</w:t>
      </w:r>
    </w:p>
    <w:p w14:paraId="012AEAD7">
      <w:pPr>
        <w:tabs>
          <w:tab w:val="left" w:pos="840"/>
          <w:tab w:val="left" w:pos="1260"/>
          <w:tab w:val="left" w:pos="1440"/>
        </w:tabs>
        <w:spacing w:line="360" w:lineRule="auto"/>
        <w:rPr>
          <w:rFonts w:ascii="宋体" w:hAnsi="宋体"/>
          <w:bCs/>
          <w:szCs w:val="24"/>
        </w:rPr>
      </w:pPr>
      <w:r>
        <w:rPr>
          <w:rFonts w:hint="eastAsia" w:ascii="宋体" w:hAnsi="宋体"/>
          <w:bCs/>
          <w:szCs w:val="24"/>
        </w:rPr>
        <w:t>9.2 双方均负有回应对方发出的通知的义务。如一方无回应，则所有通知和往来通讯将被认为是于下列日期正式送达被通知方并为其所知悉：若采用亲自递交的方式，则以被通知方收到该通知的日期为准；若采用快递的方式，则以交邮后的第 5 个工作日为准；若采用电子邮件的方式，则以发送方电子邮箱显示发送成功的时间为准；若采用传真的方式，则以传真发出并收到传真确认报告的时间为准。</w:t>
      </w:r>
    </w:p>
    <w:p w14:paraId="5582C658">
      <w:pPr>
        <w:tabs>
          <w:tab w:val="left" w:pos="840"/>
          <w:tab w:val="left" w:pos="1260"/>
          <w:tab w:val="left" w:pos="1440"/>
        </w:tabs>
        <w:spacing w:line="360" w:lineRule="auto"/>
        <w:rPr>
          <w:rFonts w:ascii="宋体" w:hAnsi="宋体"/>
          <w:bCs/>
          <w:szCs w:val="24"/>
        </w:rPr>
      </w:pPr>
      <w:r>
        <w:rPr>
          <w:rFonts w:hint="eastAsia" w:ascii="宋体" w:hAnsi="宋体"/>
          <w:bCs/>
          <w:szCs w:val="24"/>
        </w:rPr>
        <w:t>9.3 一方变更通讯地址或者联系方式的，应及时将变更后的地址、联系方式按上述通知方式以书面形式通知对方，否则变更方应对此造成的一切后果承担责任。</w:t>
      </w:r>
    </w:p>
    <w:p w14:paraId="05D132B1">
      <w:pPr>
        <w:tabs>
          <w:tab w:val="left" w:pos="840"/>
          <w:tab w:val="left" w:pos="1260"/>
          <w:tab w:val="left" w:pos="1440"/>
        </w:tabs>
        <w:spacing w:line="360" w:lineRule="auto"/>
        <w:rPr>
          <w:rFonts w:ascii="宋体" w:hAnsi="宋体"/>
          <w:bCs/>
          <w:szCs w:val="24"/>
        </w:rPr>
      </w:pPr>
      <w:r>
        <w:rPr>
          <w:rFonts w:hint="eastAsia" w:ascii="宋体" w:hAnsi="宋体"/>
          <w:bCs/>
          <w:szCs w:val="24"/>
        </w:rPr>
        <w:t>10. 违约责任</w:t>
      </w:r>
    </w:p>
    <w:p w14:paraId="53F0A103">
      <w:pPr>
        <w:tabs>
          <w:tab w:val="left" w:pos="840"/>
          <w:tab w:val="left" w:pos="1260"/>
          <w:tab w:val="left" w:pos="1440"/>
        </w:tabs>
        <w:spacing w:line="360" w:lineRule="auto"/>
        <w:rPr>
          <w:rFonts w:ascii="宋体" w:hAnsi="宋体"/>
          <w:bCs/>
          <w:szCs w:val="24"/>
        </w:rPr>
      </w:pPr>
      <w:r>
        <w:rPr>
          <w:rFonts w:hint="eastAsia" w:ascii="宋体" w:hAnsi="宋体"/>
          <w:bCs/>
          <w:szCs w:val="24"/>
        </w:rPr>
        <w:t>10.1除双方另有约定外， 甲方应在合同约定的付款之日前支付合同款项，如果甲方发生逾期支付情形，乙方有权按照逾期付款金额的万分之四/天的标准向甲方收取利息； 如甲方逾期或非足额支付任何一期款项超过 3 (三) 个月的， 则乙方有权随时单方终止本合同 (合同终止自乙方发出书面通知时生效)，同时，乙方有权向甲方收取逾期付款金额的10%作为违约金。</w:t>
      </w:r>
    </w:p>
    <w:p w14:paraId="1E21E2A3">
      <w:pPr>
        <w:tabs>
          <w:tab w:val="left" w:pos="840"/>
          <w:tab w:val="left" w:pos="1260"/>
          <w:tab w:val="left" w:pos="1440"/>
        </w:tabs>
        <w:spacing w:line="360" w:lineRule="auto"/>
        <w:rPr>
          <w:rFonts w:ascii="宋体" w:hAnsi="宋体"/>
          <w:bCs/>
          <w:szCs w:val="24"/>
        </w:rPr>
      </w:pPr>
      <w:r>
        <w:rPr>
          <w:rFonts w:hint="eastAsia" w:ascii="宋体" w:hAnsi="宋体"/>
          <w:bCs/>
          <w:szCs w:val="24"/>
        </w:rPr>
        <w:t>10.2 因甲方的原因(不可抗力除外) 无故不履行合同或者履行合同不符合约定给乙方造成损失，甲方负责赔偿乙方的实际损失。</w:t>
      </w:r>
    </w:p>
    <w:p w14:paraId="69D16154">
      <w:pPr>
        <w:tabs>
          <w:tab w:val="left" w:pos="840"/>
          <w:tab w:val="left" w:pos="1260"/>
          <w:tab w:val="left" w:pos="1440"/>
        </w:tabs>
        <w:spacing w:line="360" w:lineRule="auto"/>
        <w:rPr>
          <w:rFonts w:ascii="宋体" w:hAnsi="宋体"/>
          <w:bCs/>
          <w:szCs w:val="24"/>
        </w:rPr>
      </w:pPr>
      <w:r>
        <w:rPr>
          <w:rFonts w:hint="eastAsia" w:ascii="宋体" w:hAnsi="宋体"/>
          <w:bCs/>
          <w:szCs w:val="24"/>
        </w:rPr>
        <w:t>10.3乙方设置7×24小时报修热线电话（乙方指定联系人：xxx ；联系方式：xxxx），若乙方人员在接到甲方报修电话后不能按本合同约定期限到达甲方待检修器械所在地点进行检修保养，</w:t>
      </w:r>
      <w:r>
        <w:rPr>
          <w:rFonts w:hint="eastAsia" w:ascii="宋体" w:hAnsi="宋体"/>
          <w:bCs/>
          <w:szCs w:val="24"/>
          <w:lang w:eastAsia="zh-Hans"/>
        </w:rPr>
        <w:t>或</w:t>
      </w:r>
      <w:r>
        <w:rPr>
          <w:rFonts w:hint="eastAsia" w:ascii="宋体" w:hAnsi="宋体"/>
          <w:bCs/>
          <w:szCs w:val="24"/>
        </w:rPr>
        <w:t>造成甲方损害的，由乙方承担全部赔偿责任。累计迟延达三次或以上，甲方有权单方解除合同，并要求乙方承担合同总费用的20%作为违约金，由此造成的甲方损失由乙方负责。</w:t>
      </w:r>
    </w:p>
    <w:p w14:paraId="155FA60A">
      <w:pPr>
        <w:tabs>
          <w:tab w:val="left" w:pos="840"/>
          <w:tab w:val="left" w:pos="1260"/>
          <w:tab w:val="left" w:pos="1440"/>
        </w:tabs>
        <w:spacing w:line="360" w:lineRule="auto"/>
        <w:rPr>
          <w:rFonts w:ascii="宋体" w:hAnsi="宋体"/>
          <w:bCs/>
          <w:szCs w:val="24"/>
        </w:rPr>
      </w:pPr>
      <w:r>
        <w:rPr>
          <w:rFonts w:hint="eastAsia" w:ascii="宋体" w:hAnsi="宋体"/>
          <w:bCs/>
          <w:szCs w:val="24"/>
        </w:rPr>
        <w:t>10.4若乙方人员在对甲方器械检修保养时因乙方原因造成甲方器械损毁或其他财物损坏，或者造成甲方工作人员及任何第三方人身伤害的，由乙方对甲方、甲方工作人员及第三方承担全部赔偿责任。</w:t>
      </w:r>
    </w:p>
    <w:p w14:paraId="5C0C9173">
      <w:pPr>
        <w:tabs>
          <w:tab w:val="left" w:pos="840"/>
          <w:tab w:val="left" w:pos="1260"/>
          <w:tab w:val="left" w:pos="1440"/>
        </w:tabs>
        <w:spacing w:line="360" w:lineRule="auto"/>
        <w:rPr>
          <w:rFonts w:ascii="宋体" w:hAnsi="宋体"/>
          <w:bCs/>
          <w:szCs w:val="24"/>
        </w:rPr>
      </w:pPr>
      <w:r>
        <w:rPr>
          <w:rFonts w:hint="eastAsia" w:ascii="宋体" w:hAnsi="宋体"/>
          <w:bCs/>
          <w:szCs w:val="24"/>
        </w:rPr>
        <w:t>10.5乙方设置7×24小时报修热线电话（乙方指定联系人：xxx ；联系方式：xxxx），若乙方不能在合同约定的时间内完成检修保养工作，乙方应继续为甲方器械进行检修保养，直至检修工作完成，并每次向甲方支付合同总价1%的违约金。乙方累计违约超过三次的，甲方有权单方解除合同，乙方应向甲方支付合同费用总额的20%作为违约金。</w:t>
      </w:r>
    </w:p>
    <w:p w14:paraId="1BFC7AB6">
      <w:pPr>
        <w:tabs>
          <w:tab w:val="left" w:pos="840"/>
          <w:tab w:val="left" w:pos="1260"/>
          <w:tab w:val="left" w:pos="1440"/>
        </w:tabs>
        <w:spacing w:line="360" w:lineRule="auto"/>
        <w:rPr>
          <w:rFonts w:ascii="宋体" w:hAnsi="宋体"/>
          <w:bCs/>
          <w:szCs w:val="24"/>
        </w:rPr>
      </w:pPr>
      <w:r>
        <w:rPr>
          <w:rFonts w:hint="eastAsia" w:ascii="宋体" w:hAnsi="宋体"/>
          <w:bCs/>
          <w:szCs w:val="24"/>
        </w:rPr>
        <w:t>10.6若因乙方检修保养行为不当导致甲方工作人员在使用器械时造成甲方工作人员或第三人损害的，乙方应对此承担全部赔偿责任。</w:t>
      </w:r>
    </w:p>
    <w:p w14:paraId="7AD09834">
      <w:pPr>
        <w:tabs>
          <w:tab w:val="left" w:pos="840"/>
          <w:tab w:val="left" w:pos="1260"/>
          <w:tab w:val="left" w:pos="1440"/>
        </w:tabs>
        <w:spacing w:line="360" w:lineRule="auto"/>
        <w:rPr>
          <w:rFonts w:ascii="宋体" w:hAnsi="宋体"/>
          <w:bCs/>
          <w:szCs w:val="24"/>
        </w:rPr>
      </w:pPr>
      <w:r>
        <w:rPr>
          <w:rFonts w:hint="eastAsia" w:ascii="宋体" w:hAnsi="宋体"/>
          <w:bCs/>
          <w:szCs w:val="24"/>
        </w:rPr>
        <w:t>10.7乙方人员不得擅自动用甲方工作场所范围内的各种设备、设施，进入甲方工作场所应服从甲方相关管理规定，否则甲方有权单方解除本合同，已支付费用乙方应原数退还，且乙方应向甲方支付合同费用总额的20%作为违约金并承担由此造成的全部损失。</w:t>
      </w:r>
    </w:p>
    <w:p w14:paraId="28D3150D">
      <w:pPr>
        <w:tabs>
          <w:tab w:val="left" w:pos="840"/>
          <w:tab w:val="left" w:pos="1260"/>
          <w:tab w:val="left" w:pos="1440"/>
        </w:tabs>
        <w:spacing w:line="360" w:lineRule="auto"/>
        <w:rPr>
          <w:rFonts w:ascii="宋体" w:hAnsi="宋体"/>
          <w:bCs/>
          <w:szCs w:val="24"/>
        </w:rPr>
      </w:pPr>
      <w:r>
        <w:rPr>
          <w:rFonts w:hint="eastAsia" w:ascii="宋体" w:hAnsi="宋体"/>
          <w:bCs/>
          <w:szCs w:val="24"/>
        </w:rPr>
        <w:t>10.8乙方如果违反合同约定，擅自将有关因履行本合同而知悉的甲方内部工作信息、数据等引用、发表或提供给第三人，甲方有权单方解除本合同，已支付费用乙方应原数退还，且乙方应向甲方支付合同费用总额的20%作为违约金并承担由此造成的全部损失，并追究相关法律责任。</w:t>
      </w:r>
    </w:p>
    <w:p w14:paraId="205F8F8E">
      <w:pPr>
        <w:tabs>
          <w:tab w:val="left" w:pos="840"/>
          <w:tab w:val="left" w:pos="1260"/>
          <w:tab w:val="left" w:pos="1440"/>
        </w:tabs>
        <w:spacing w:line="360" w:lineRule="auto"/>
        <w:rPr>
          <w:rFonts w:ascii="宋体" w:hAnsi="宋体"/>
          <w:bCs/>
          <w:szCs w:val="24"/>
        </w:rPr>
      </w:pPr>
      <w:r>
        <w:rPr>
          <w:rFonts w:hint="eastAsia" w:ascii="宋体" w:hAnsi="宋体"/>
          <w:bCs/>
          <w:szCs w:val="24"/>
        </w:rPr>
        <w:t>10.9未经甲方事先书面同意，乙方不得全部或部分转让其在本合同项下的权利和义务，若乙方违反此约定的，甲方有权单方解除合同，并要求乙方支付合同费用总额的20%作为违约金。</w:t>
      </w:r>
    </w:p>
    <w:p w14:paraId="68998087">
      <w:pPr>
        <w:tabs>
          <w:tab w:val="left" w:pos="840"/>
          <w:tab w:val="left" w:pos="1260"/>
          <w:tab w:val="left" w:pos="1440"/>
        </w:tabs>
        <w:spacing w:line="360" w:lineRule="auto"/>
        <w:rPr>
          <w:rFonts w:ascii="宋体" w:hAnsi="宋体"/>
          <w:bCs/>
          <w:szCs w:val="24"/>
        </w:rPr>
      </w:pPr>
      <w:r>
        <w:rPr>
          <w:rFonts w:hint="eastAsia" w:ascii="宋体" w:hAnsi="宋体"/>
          <w:bCs/>
          <w:szCs w:val="24"/>
        </w:rPr>
        <w:t>10.10乙方应向甲方支付的违约金，甲方有权在应付款项中扣除，违约金不足以弥补甲方损失的，乙方应另行赔偿。</w:t>
      </w:r>
    </w:p>
    <w:p w14:paraId="013B5BB7">
      <w:pPr>
        <w:widowControl/>
        <w:spacing w:line="360" w:lineRule="auto"/>
        <w:jc w:val="left"/>
        <w:rPr>
          <w:rFonts w:ascii="宋体" w:hAnsi="宋体" w:cs="Arial"/>
          <w:bCs/>
          <w:szCs w:val="24"/>
        </w:rPr>
      </w:pPr>
      <w:r>
        <w:rPr>
          <w:rFonts w:hint="eastAsia" w:ascii="宋体" w:hAnsi="宋体"/>
          <w:bCs/>
          <w:szCs w:val="24"/>
        </w:rPr>
        <w:t>10.11任何一方违约导致另一方通过诉讼途径主张权利的，由此支出的一切费用均由违约方负责（包括但不限于诉讼费、律师费等费用）。</w:t>
      </w:r>
    </w:p>
    <w:p w14:paraId="22E85453">
      <w:pPr>
        <w:tabs>
          <w:tab w:val="left" w:pos="840"/>
        </w:tabs>
        <w:spacing w:line="360" w:lineRule="auto"/>
        <w:ind w:left="456"/>
        <w:jc w:val="center"/>
        <w:rPr>
          <w:rFonts w:ascii="宋体" w:hAnsi="宋体"/>
          <w:b/>
        </w:rPr>
      </w:pPr>
    </w:p>
    <w:p w14:paraId="06B27A90">
      <w:pPr>
        <w:tabs>
          <w:tab w:val="left" w:pos="840"/>
        </w:tabs>
        <w:spacing w:line="360" w:lineRule="auto"/>
        <w:ind w:left="456"/>
        <w:jc w:val="center"/>
        <w:rPr>
          <w:rFonts w:ascii="宋体" w:hAnsi="宋体"/>
          <w:b/>
        </w:rPr>
      </w:pPr>
    </w:p>
    <w:p w14:paraId="569D1B41">
      <w:pPr>
        <w:tabs>
          <w:tab w:val="left" w:pos="840"/>
        </w:tabs>
        <w:spacing w:line="360" w:lineRule="auto"/>
        <w:ind w:left="1" w:firstLine="480"/>
        <w:rPr>
          <w:rFonts w:ascii="黑体" w:hAnsi="黑体" w:eastAsia="黑体"/>
        </w:rPr>
      </w:pPr>
    </w:p>
    <w:p w14:paraId="2E563970"/>
    <w:p w14:paraId="48F4B512"/>
    <w:p w14:paraId="29A72A36">
      <w:pPr>
        <w:widowControl/>
        <w:jc w:val="left"/>
        <w:rPr>
          <w:kern w:val="0"/>
        </w:rPr>
        <w:sectPr>
          <w:pgSz w:w="11906" w:h="16838"/>
          <w:pgMar w:top="1440" w:right="1800" w:bottom="1440" w:left="1800" w:header="851" w:footer="992" w:gutter="0"/>
          <w:cols w:space="720" w:num="1"/>
          <w:docGrid w:type="lines" w:linePitch="312" w:charSpace="0"/>
        </w:sectPr>
      </w:pPr>
    </w:p>
    <w:p w14:paraId="458E2CDF">
      <w:pPr>
        <w:pStyle w:val="12"/>
        <w:rPr>
          <w:rFonts w:ascii="宋体" w:hAnsi="宋体" w:eastAsia="宋体"/>
        </w:rPr>
      </w:pPr>
      <w:bookmarkStart w:id="14" w:name="_Toc199815436"/>
      <w:bookmarkStart w:id="15" w:name="_Toc395083523"/>
      <w:bookmarkStart w:id="16" w:name="_Toc401232230"/>
      <w:r>
        <w:rPr>
          <w:rFonts w:hint="eastAsia" w:ascii="宋体" w:hAnsi="宋体" w:eastAsia="宋体"/>
        </w:rPr>
        <w:t>第四章  磋商、评审及成交</w:t>
      </w:r>
    </w:p>
    <w:p w14:paraId="21727EEE">
      <w:pPr>
        <w:widowControl/>
        <w:spacing w:line="360" w:lineRule="auto"/>
        <w:ind w:left="1" w:firstLine="471" w:firstLineChars="224"/>
        <w:jc w:val="left"/>
        <w:rPr>
          <w:rFonts w:ascii="宋体" w:hAnsi="宋体"/>
          <w:b/>
          <w:szCs w:val="24"/>
        </w:rPr>
      </w:pPr>
      <w:r>
        <w:rPr>
          <w:rFonts w:hint="eastAsia" w:ascii="宋体" w:hAnsi="宋体"/>
          <w:b/>
          <w:szCs w:val="24"/>
        </w:rPr>
        <w:t>一、磋商小组</w:t>
      </w:r>
      <w:bookmarkEnd w:id="14"/>
      <w:bookmarkEnd w:id="15"/>
      <w:bookmarkEnd w:id="16"/>
    </w:p>
    <w:p w14:paraId="2B9C3C76">
      <w:pPr>
        <w:widowControl/>
        <w:spacing w:line="360" w:lineRule="auto"/>
        <w:ind w:left="1" w:firstLine="470" w:firstLineChars="224"/>
        <w:jc w:val="left"/>
        <w:rPr>
          <w:rFonts w:ascii="宋体" w:hAnsi="宋体"/>
          <w:szCs w:val="24"/>
        </w:rPr>
      </w:pPr>
      <w:r>
        <w:rPr>
          <w:rFonts w:hint="eastAsia" w:ascii="宋体" w:hAnsi="宋体"/>
          <w:szCs w:val="24"/>
        </w:rPr>
        <w:t>磋商小组由采购人代表和评审专家共三人以上单数组成，其中</w:t>
      </w:r>
      <w:r>
        <w:rPr>
          <w:rFonts w:hint="eastAsia" w:ascii="宋体" w:hAnsi="宋体" w:cs="Arial"/>
          <w:szCs w:val="24"/>
          <w:lang w:val="zh-CN"/>
        </w:rPr>
        <w:t>专家在政府采购专家库中随机抽取，</w:t>
      </w:r>
      <w:r>
        <w:rPr>
          <w:rFonts w:hint="eastAsia" w:ascii="宋体" w:hAnsi="宋体"/>
          <w:szCs w:val="24"/>
        </w:rPr>
        <w:t>如采购人不派代表参加评审，则磋商小组全部由</w:t>
      </w:r>
      <w:r>
        <w:rPr>
          <w:rFonts w:hint="eastAsia" w:ascii="宋体" w:hAnsi="宋体" w:cs="Arial"/>
          <w:szCs w:val="24"/>
          <w:lang w:val="zh-CN"/>
        </w:rPr>
        <w:t>在政府采购专家库中随机抽取的</w:t>
      </w:r>
      <w:r>
        <w:rPr>
          <w:rFonts w:hint="eastAsia" w:ascii="宋体" w:hAnsi="宋体"/>
          <w:szCs w:val="24"/>
        </w:rPr>
        <w:t>专家组成</w:t>
      </w:r>
      <w:r>
        <w:rPr>
          <w:rFonts w:hint="eastAsia" w:ascii="宋体" w:hAnsi="宋体" w:cs="Arial"/>
          <w:szCs w:val="24"/>
          <w:lang w:val="zh-CN"/>
        </w:rPr>
        <w:t>。磋商小组本着公平、公正、科学、择优的原则，严格按照法律法规和磋商文件的要求推荐评审结果。</w:t>
      </w:r>
      <w:r>
        <w:rPr>
          <w:rFonts w:hint="eastAsia" w:ascii="宋体" w:hAnsi="宋体"/>
          <w:szCs w:val="24"/>
        </w:rPr>
        <w:t>磋商小组在磋商及评审过程中出现意见不一致时，应遵循少数服从多数原则。</w:t>
      </w:r>
    </w:p>
    <w:p w14:paraId="20AE2D24">
      <w:pPr>
        <w:spacing w:line="360" w:lineRule="auto"/>
        <w:ind w:firstLine="472" w:firstLineChars="225"/>
        <w:rPr>
          <w:rFonts w:ascii="宋体" w:hAnsi="宋体"/>
          <w:lang w:val="en-GB"/>
        </w:rPr>
      </w:pPr>
      <w:bookmarkStart w:id="17" w:name="_Toc199735924"/>
      <w:r>
        <w:rPr>
          <w:rFonts w:hint="eastAsia" w:ascii="宋体" w:hAnsi="宋体"/>
          <w:lang w:val="en-GB"/>
        </w:rPr>
        <w:t>磋商小组成员有下列情形之一的，受到邀请应主动提出回避，采购当事人也可以要求该</w:t>
      </w:r>
      <w:r>
        <w:rPr>
          <w:rFonts w:hint="eastAsia" w:ascii="宋体" w:hAnsi="宋体"/>
          <w:szCs w:val="24"/>
        </w:rPr>
        <w:t>成员</w:t>
      </w:r>
      <w:r>
        <w:rPr>
          <w:rFonts w:hint="eastAsia" w:ascii="宋体" w:hAnsi="宋体"/>
          <w:lang w:val="en-GB"/>
        </w:rPr>
        <w:t>回避：</w:t>
      </w:r>
      <w:bookmarkEnd w:id="17"/>
    </w:p>
    <w:p w14:paraId="07D3501C">
      <w:pPr>
        <w:spacing w:line="360" w:lineRule="auto"/>
        <w:ind w:firstLine="472" w:firstLineChars="225"/>
        <w:rPr>
          <w:rFonts w:ascii="宋体" w:hAnsi="宋体"/>
          <w:lang w:val="en-GB"/>
        </w:rPr>
      </w:pPr>
      <w:r>
        <w:rPr>
          <w:rFonts w:hint="eastAsia" w:ascii="宋体" w:hAnsi="宋体"/>
          <w:lang w:val="en-GB"/>
        </w:rPr>
        <w:t>（一）本人、配偶或直系亲属3年内曾在参加该采购项目的供应商中任职（包括一般工作）或担任顾问，或与参加该采购项目的供应商发生过法律纠纷。</w:t>
      </w:r>
    </w:p>
    <w:p w14:paraId="7C42AFAA">
      <w:pPr>
        <w:spacing w:line="360" w:lineRule="auto"/>
        <w:ind w:firstLine="472" w:firstLineChars="225"/>
        <w:rPr>
          <w:rFonts w:ascii="宋体" w:hAnsi="宋体"/>
          <w:lang w:val="en-GB"/>
        </w:rPr>
      </w:pPr>
      <w:r>
        <w:rPr>
          <w:rFonts w:hint="eastAsia" w:ascii="宋体" w:hAnsi="宋体"/>
          <w:lang w:val="en-GB"/>
        </w:rPr>
        <w:t>（二）任职单位与采购人或参加该采购项目供应商存在行政隶属关系。</w:t>
      </w:r>
    </w:p>
    <w:p w14:paraId="77217719">
      <w:pPr>
        <w:spacing w:line="360" w:lineRule="auto"/>
        <w:ind w:firstLine="472" w:firstLineChars="225"/>
        <w:rPr>
          <w:rFonts w:ascii="宋体" w:hAnsi="宋体"/>
          <w:lang w:val="en-GB"/>
        </w:rPr>
      </w:pPr>
      <w:r>
        <w:rPr>
          <w:rFonts w:hint="eastAsia" w:ascii="宋体" w:hAnsi="宋体"/>
          <w:lang w:val="en-GB"/>
        </w:rPr>
        <w:t>（</w:t>
      </w:r>
      <w:r>
        <w:rPr>
          <w:rFonts w:hint="eastAsia" w:ascii="宋体" w:hAnsi="宋体"/>
        </w:rPr>
        <w:t>三</w:t>
      </w:r>
      <w:r>
        <w:rPr>
          <w:rFonts w:hint="eastAsia" w:ascii="宋体" w:hAnsi="宋体"/>
          <w:lang w:val="en-GB"/>
        </w:rPr>
        <w:t>）是参加该采购项目供应商的上级主管部门、控股或参股单位的工作人员，或与该供应商存在其他经济利益关系。</w:t>
      </w:r>
    </w:p>
    <w:p w14:paraId="16798E5C">
      <w:pPr>
        <w:spacing w:line="360" w:lineRule="auto"/>
        <w:ind w:firstLine="472" w:firstLineChars="225"/>
        <w:rPr>
          <w:rFonts w:ascii="宋体" w:hAnsi="宋体"/>
          <w:lang w:val="en-GB"/>
        </w:rPr>
      </w:pPr>
      <w:r>
        <w:rPr>
          <w:rFonts w:hint="eastAsia" w:ascii="宋体" w:hAnsi="宋体"/>
          <w:lang w:val="en-GB"/>
        </w:rPr>
        <w:t>（</w:t>
      </w:r>
      <w:r>
        <w:rPr>
          <w:rFonts w:hint="eastAsia" w:ascii="宋体" w:hAnsi="宋体"/>
        </w:rPr>
        <w:t>四</w:t>
      </w:r>
      <w:r>
        <w:rPr>
          <w:rFonts w:hint="eastAsia" w:ascii="宋体" w:hAnsi="宋体"/>
          <w:lang w:val="en-GB"/>
        </w:rPr>
        <w:t>）磋商小组成员之间具有配偶、近亲属关系。</w:t>
      </w:r>
    </w:p>
    <w:p w14:paraId="36DB5A6A">
      <w:pPr>
        <w:spacing w:line="360" w:lineRule="auto"/>
        <w:ind w:firstLine="472" w:firstLineChars="225"/>
        <w:rPr>
          <w:rFonts w:ascii="宋体" w:hAnsi="宋体"/>
          <w:lang w:val="en-GB"/>
        </w:rPr>
      </w:pPr>
      <w:r>
        <w:rPr>
          <w:rFonts w:hint="eastAsia" w:ascii="宋体" w:hAnsi="宋体"/>
          <w:lang w:val="en-GB"/>
        </w:rPr>
        <w:t>（</w:t>
      </w:r>
      <w:r>
        <w:rPr>
          <w:rFonts w:hint="eastAsia" w:ascii="宋体" w:hAnsi="宋体"/>
        </w:rPr>
        <w:t>五</w:t>
      </w:r>
      <w:r>
        <w:rPr>
          <w:rFonts w:hint="eastAsia" w:ascii="宋体" w:hAnsi="宋体"/>
          <w:lang w:val="en-GB"/>
        </w:rPr>
        <w:t>）法律、法规、规章规定应当回避以及其他可能影响公正评审的。</w:t>
      </w:r>
    </w:p>
    <w:p w14:paraId="5EA52E2E"/>
    <w:p w14:paraId="24688796">
      <w:pPr>
        <w:widowControl/>
        <w:jc w:val="left"/>
        <w:rPr>
          <w:kern w:val="0"/>
        </w:rPr>
        <w:sectPr>
          <w:pgSz w:w="11906" w:h="16838"/>
          <w:pgMar w:top="1440" w:right="1800" w:bottom="1440" w:left="1800" w:header="851" w:footer="992" w:gutter="0"/>
          <w:cols w:space="720" w:num="1"/>
          <w:docGrid w:type="lines" w:linePitch="312" w:charSpace="0"/>
        </w:sectPr>
      </w:pPr>
    </w:p>
    <w:p w14:paraId="5FAEBB39">
      <w:pPr>
        <w:pStyle w:val="10"/>
        <w:spacing w:before="0" w:after="0" w:line="360" w:lineRule="auto"/>
        <w:ind w:firstLine="482" w:firstLineChars="200"/>
        <w:jc w:val="both"/>
        <w:rPr>
          <w:rFonts w:ascii="宋体" w:hAnsi="宋体" w:eastAsia="宋体"/>
          <w:sz w:val="24"/>
          <w:szCs w:val="24"/>
          <w:lang w:val="zh-CN"/>
        </w:rPr>
      </w:pPr>
      <w:bookmarkStart w:id="18" w:name="_Toc351989409"/>
      <w:bookmarkStart w:id="19" w:name="_Toc401231934"/>
      <w:bookmarkStart w:id="20" w:name="_Toc401231876"/>
      <w:r>
        <w:rPr>
          <w:rFonts w:hint="eastAsia" w:ascii="宋体" w:hAnsi="宋体" w:eastAsia="宋体"/>
          <w:sz w:val="24"/>
          <w:szCs w:val="24"/>
          <w:lang w:val="zh-CN"/>
        </w:rPr>
        <w:t>二、评审方法</w:t>
      </w:r>
    </w:p>
    <w:p w14:paraId="589F53DA">
      <w:pPr>
        <w:spacing w:line="360" w:lineRule="auto"/>
        <w:ind w:firstLine="496" w:firstLineChars="236"/>
        <w:rPr>
          <w:rFonts w:ascii="宋体" w:hAnsi="宋体" w:cs="Arial"/>
          <w:b/>
          <w:szCs w:val="24"/>
          <w:lang w:val="zh-CN"/>
        </w:rPr>
      </w:pPr>
      <w:r>
        <w:rPr>
          <w:rFonts w:hint="eastAsia" w:ascii="宋体" w:hAnsi="宋体" w:cs="Arial"/>
          <w:b/>
          <w:szCs w:val="24"/>
          <w:lang w:val="zh-CN"/>
        </w:rPr>
        <w:t>（一）推荐成交候选供应商方法</w:t>
      </w:r>
      <w:bookmarkEnd w:id="18"/>
      <w:bookmarkEnd w:id="19"/>
      <w:bookmarkEnd w:id="20"/>
    </w:p>
    <w:p w14:paraId="0388B551">
      <w:pPr>
        <w:spacing w:line="360" w:lineRule="auto"/>
        <w:ind w:firstLine="495" w:firstLineChars="236"/>
        <w:rPr>
          <w:rFonts w:ascii="宋体" w:hAnsi="宋体"/>
        </w:rPr>
      </w:pPr>
      <w:r>
        <w:rPr>
          <w:rFonts w:hint="eastAsia" w:ascii="宋体" w:hAnsi="宋体" w:cs="Arial"/>
          <w:szCs w:val="24"/>
          <w:lang w:val="zh-CN"/>
        </w:rPr>
        <w:t>本次磋商采用一轮磋商，两次报价形式进行。经磋商确定最终采购需求和提交最后报价的供应商后，由磋商小组采用综合评分法对提交最后报价的供应商的响应文件和最后报价进行综合评分。磋商小组按响应文件满足磋商文件全部实质性要求且按评审因素的量化指标评审得分由高到低的顺序推荐成交候选供应商</w:t>
      </w:r>
      <w:r>
        <w:rPr>
          <w:rFonts w:hint="eastAsia" w:ascii="宋体" w:hAnsi="宋体"/>
        </w:rPr>
        <w:t>。</w:t>
      </w:r>
    </w:p>
    <w:p w14:paraId="1D6ADDAE">
      <w:pPr>
        <w:spacing w:line="360" w:lineRule="auto"/>
        <w:ind w:firstLine="496" w:firstLineChars="236"/>
        <w:rPr>
          <w:rFonts w:ascii="宋体" w:hAnsi="宋体" w:cs="Arial"/>
          <w:szCs w:val="24"/>
          <w:lang w:val="zh-CN"/>
        </w:rPr>
      </w:pPr>
      <w:r>
        <w:rPr>
          <w:rFonts w:hint="eastAsia" w:ascii="宋体" w:hAnsi="宋体" w:cs="Arial"/>
          <w:b/>
          <w:szCs w:val="24"/>
          <w:lang w:val="zh-CN"/>
        </w:rPr>
        <w:t>（二）响应文件差异修正准则</w:t>
      </w:r>
    </w:p>
    <w:p w14:paraId="50280C7F">
      <w:pPr>
        <w:tabs>
          <w:tab w:val="left" w:pos="0"/>
        </w:tabs>
        <w:spacing w:line="360" w:lineRule="auto"/>
        <w:ind w:left="540"/>
        <w:rPr>
          <w:rFonts w:ascii="宋体" w:hAnsi="宋体"/>
        </w:rPr>
      </w:pPr>
      <w:r>
        <w:rPr>
          <w:rFonts w:hint="eastAsia" w:ascii="宋体" w:hAnsi="宋体"/>
        </w:rPr>
        <w:t>响应文件出现差异时，修正原则及优先修正顺序如下：</w:t>
      </w:r>
    </w:p>
    <w:p w14:paraId="003792AD">
      <w:pPr>
        <w:spacing w:line="360" w:lineRule="auto"/>
        <w:ind w:firstLine="495" w:firstLineChars="236"/>
        <w:rPr>
          <w:rFonts w:ascii="宋体" w:hAnsi="宋体" w:cs="Arial"/>
          <w:szCs w:val="24"/>
          <w:lang w:val="zh-CN"/>
        </w:rPr>
      </w:pPr>
      <w:r>
        <w:rPr>
          <w:rFonts w:hint="eastAsia" w:ascii="宋体" w:hAnsi="宋体" w:cs="Arial"/>
          <w:szCs w:val="24"/>
          <w:lang w:val="zh-CN"/>
        </w:rPr>
        <w:t>1.开标内容与响应文件对应内容不一致的，均以开标内容为准；</w:t>
      </w:r>
    </w:p>
    <w:p w14:paraId="3723D4C1">
      <w:pPr>
        <w:spacing w:line="360" w:lineRule="auto"/>
        <w:ind w:firstLine="495" w:firstLineChars="236"/>
        <w:rPr>
          <w:rFonts w:ascii="宋体" w:hAnsi="宋体" w:cs="Arial"/>
          <w:szCs w:val="24"/>
          <w:lang w:val="zh-CN"/>
        </w:rPr>
      </w:pPr>
      <w:r>
        <w:rPr>
          <w:rFonts w:hint="eastAsia" w:ascii="宋体" w:hAnsi="宋体" w:cs="Arial"/>
          <w:szCs w:val="24"/>
          <w:lang w:val="zh-CN"/>
        </w:rPr>
        <w:t>2.开标一览表与分项明细表或其它相关报价表报价不一致的，均以开标一览表为准；</w:t>
      </w:r>
    </w:p>
    <w:p w14:paraId="19007738">
      <w:pPr>
        <w:spacing w:line="360" w:lineRule="auto"/>
        <w:ind w:firstLine="495" w:firstLineChars="236"/>
        <w:rPr>
          <w:rFonts w:ascii="宋体" w:hAnsi="宋体" w:cs="Arial"/>
          <w:szCs w:val="24"/>
          <w:lang w:val="zh-CN"/>
        </w:rPr>
      </w:pPr>
      <w:r>
        <w:rPr>
          <w:rFonts w:hint="eastAsia" w:ascii="宋体" w:hAnsi="宋体" w:cs="Arial"/>
          <w:szCs w:val="24"/>
          <w:lang w:val="zh-CN"/>
        </w:rPr>
        <w:t>3.分项报价表中的单价与对应的合计价不相符的，以单价为准，修正对应的该项合计价；</w:t>
      </w:r>
    </w:p>
    <w:p w14:paraId="01EFDDDC">
      <w:pPr>
        <w:spacing w:line="360" w:lineRule="auto"/>
        <w:ind w:firstLine="495" w:firstLineChars="236"/>
        <w:rPr>
          <w:rFonts w:ascii="宋体" w:hAnsi="宋体" w:cs="Arial"/>
          <w:szCs w:val="24"/>
          <w:lang w:val="zh-CN"/>
        </w:rPr>
      </w:pPr>
      <w:r>
        <w:rPr>
          <w:rFonts w:hint="eastAsia" w:ascii="宋体" w:hAnsi="宋体" w:cs="Arial"/>
          <w:szCs w:val="24"/>
          <w:lang w:val="zh-CN"/>
        </w:rPr>
        <w:t>4.大写金额和小写金额不一致的，以大写金额为准；</w:t>
      </w:r>
    </w:p>
    <w:p w14:paraId="2A287F83">
      <w:pPr>
        <w:spacing w:line="360" w:lineRule="auto"/>
        <w:ind w:firstLine="495" w:firstLineChars="236"/>
        <w:rPr>
          <w:rFonts w:ascii="宋体" w:hAnsi="宋体" w:cs="Arial"/>
          <w:szCs w:val="24"/>
          <w:lang w:val="zh-CN"/>
        </w:rPr>
      </w:pPr>
      <w:r>
        <w:rPr>
          <w:rFonts w:hint="eastAsia" w:ascii="宋体" w:hAnsi="宋体" w:cs="Arial"/>
          <w:szCs w:val="24"/>
          <w:lang w:val="zh-CN"/>
        </w:rPr>
        <w:t>5.单价金额小数点有明显错位的，应以总价为准，并修改单价；</w:t>
      </w:r>
    </w:p>
    <w:p w14:paraId="5DEC62FF">
      <w:pPr>
        <w:spacing w:line="360" w:lineRule="auto"/>
        <w:ind w:firstLine="495" w:firstLineChars="236"/>
        <w:rPr>
          <w:rFonts w:ascii="宋体" w:hAnsi="宋体" w:cs="Arial"/>
          <w:szCs w:val="24"/>
          <w:lang w:val="zh-CN"/>
        </w:rPr>
      </w:pPr>
      <w:r>
        <w:rPr>
          <w:rFonts w:hint="eastAsia" w:ascii="宋体" w:hAnsi="宋体" w:cs="Arial"/>
          <w:szCs w:val="24"/>
          <w:lang w:val="zh-CN"/>
        </w:rPr>
        <w:t>6.响应文件描述内容与原始材料引述内容不一致的，以原始材料内容为准；</w:t>
      </w:r>
    </w:p>
    <w:p w14:paraId="4FF56096">
      <w:pPr>
        <w:spacing w:line="360" w:lineRule="auto"/>
        <w:ind w:firstLine="495" w:firstLineChars="236"/>
        <w:rPr>
          <w:rFonts w:ascii="宋体" w:hAnsi="宋体" w:cs="Arial"/>
          <w:szCs w:val="24"/>
          <w:lang w:val="zh-CN"/>
        </w:rPr>
      </w:pPr>
      <w:r>
        <w:rPr>
          <w:rFonts w:hint="eastAsia" w:ascii="宋体" w:hAnsi="宋体" w:cs="Arial"/>
          <w:szCs w:val="24"/>
          <w:lang w:val="zh-CN"/>
        </w:rPr>
        <w:t>7.对不同文字文本响应文件的解释发生异议的，以中文文本为准；</w:t>
      </w:r>
    </w:p>
    <w:p w14:paraId="549D234F">
      <w:pPr>
        <w:spacing w:line="360" w:lineRule="auto"/>
        <w:ind w:firstLine="495" w:firstLineChars="236"/>
        <w:rPr>
          <w:rFonts w:ascii="宋体" w:hAnsi="宋体" w:cs="Arial"/>
          <w:szCs w:val="24"/>
          <w:lang w:val="zh-CN"/>
        </w:rPr>
      </w:pPr>
      <w:r>
        <w:rPr>
          <w:rFonts w:hint="eastAsia" w:ascii="宋体" w:hAnsi="宋体" w:cs="Arial"/>
          <w:szCs w:val="24"/>
          <w:lang w:val="zh-CN"/>
        </w:rPr>
        <w:t>8.对出现以上情况或因明显笔误而需修正任何内容时，均以磋商小组审定通过方为有效；</w:t>
      </w:r>
    </w:p>
    <w:p w14:paraId="3556E18E">
      <w:pPr>
        <w:spacing w:line="360" w:lineRule="auto"/>
        <w:ind w:firstLine="495" w:firstLineChars="236"/>
        <w:rPr>
          <w:rFonts w:ascii="宋体" w:hAnsi="宋体" w:cs="Arial"/>
          <w:szCs w:val="24"/>
          <w:lang w:val="zh-CN"/>
        </w:rPr>
      </w:pPr>
      <w:r>
        <w:rPr>
          <w:rFonts w:hint="eastAsia" w:ascii="宋体" w:hAnsi="宋体" w:cs="Arial"/>
          <w:szCs w:val="24"/>
          <w:lang w:val="zh-CN"/>
        </w:rPr>
        <w:t>9.对采购项目的关键、主要内容，磋商供应商报价漏项的，作非实质性响应处理；</w:t>
      </w:r>
    </w:p>
    <w:p w14:paraId="1B25543F">
      <w:pPr>
        <w:spacing w:line="360" w:lineRule="auto"/>
        <w:ind w:firstLine="495" w:firstLineChars="236"/>
        <w:rPr>
          <w:rFonts w:ascii="宋体" w:hAnsi="宋体" w:cs="Arial"/>
          <w:szCs w:val="24"/>
          <w:lang w:val="zh-CN"/>
        </w:rPr>
      </w:pPr>
      <w:r>
        <w:rPr>
          <w:rFonts w:hint="eastAsia" w:ascii="宋体" w:hAnsi="宋体" w:cs="Arial"/>
          <w:szCs w:val="24"/>
          <w:lang w:val="zh-CN"/>
        </w:rPr>
        <w:t>10. 磋商小组认定为表述不清晰或无法确定的报价均不予修正。</w:t>
      </w:r>
    </w:p>
    <w:p w14:paraId="271E60B9">
      <w:pPr>
        <w:spacing w:line="360" w:lineRule="auto"/>
        <w:ind w:firstLine="496" w:firstLineChars="236"/>
        <w:rPr>
          <w:rFonts w:ascii="宋体" w:hAnsi="宋体" w:cs="Arial"/>
          <w:b/>
          <w:szCs w:val="24"/>
          <w:lang w:val="zh-CN"/>
        </w:rPr>
      </w:pPr>
      <w:r>
        <w:rPr>
          <w:rFonts w:hint="eastAsia" w:ascii="宋体" w:hAnsi="宋体" w:cs="Arial"/>
          <w:b/>
          <w:szCs w:val="24"/>
          <w:lang w:val="zh-CN"/>
        </w:rPr>
        <w:t>（三）响应文件的澄清、说明或更正</w:t>
      </w:r>
    </w:p>
    <w:p w14:paraId="2105EE67">
      <w:pPr>
        <w:widowControl/>
        <w:numPr>
          <w:ilvl w:val="0"/>
          <w:numId w:val="3"/>
        </w:numPr>
        <w:tabs>
          <w:tab w:val="left" w:pos="0"/>
        </w:tabs>
        <w:spacing w:line="360" w:lineRule="auto"/>
        <w:ind w:left="0" w:firstLine="567"/>
        <w:rPr>
          <w:rFonts w:ascii="宋体" w:hAnsi="宋体"/>
        </w:rPr>
      </w:pPr>
      <w:r>
        <w:rPr>
          <w:rFonts w:hint="eastAsia" w:ascii="宋体" w:hAnsi="宋体"/>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22541C40">
      <w:pPr>
        <w:widowControl/>
        <w:numPr>
          <w:ilvl w:val="0"/>
          <w:numId w:val="3"/>
        </w:numPr>
        <w:tabs>
          <w:tab w:val="left" w:pos="0"/>
        </w:tabs>
        <w:spacing w:line="360" w:lineRule="auto"/>
        <w:ind w:left="0" w:firstLine="567"/>
        <w:rPr>
          <w:rFonts w:ascii="宋体" w:hAnsi="宋体"/>
        </w:rPr>
      </w:pPr>
      <w:r>
        <w:rPr>
          <w:rFonts w:hint="eastAsia" w:ascii="宋体" w:hAnsi="宋体"/>
        </w:rPr>
        <w:t>磋商小组要求供应商澄清、说明或者更正响应文件应当以书面形式作出。供应商的澄清、说明或者更正应当由法定代表人或其授权代表签字或者加盖公章。</w:t>
      </w:r>
    </w:p>
    <w:p w14:paraId="3B1BC444">
      <w:pPr>
        <w:widowControl/>
        <w:numPr>
          <w:ilvl w:val="0"/>
          <w:numId w:val="3"/>
        </w:numPr>
        <w:tabs>
          <w:tab w:val="left" w:pos="0"/>
        </w:tabs>
        <w:spacing w:line="360" w:lineRule="auto"/>
        <w:ind w:left="0" w:firstLine="567"/>
        <w:rPr>
          <w:rFonts w:ascii="宋体" w:hAnsi="宋体"/>
        </w:rPr>
      </w:pPr>
      <w:r>
        <w:rPr>
          <w:rFonts w:hint="eastAsia" w:ascii="宋体" w:hAnsi="宋体"/>
        </w:rPr>
        <w:t>磋商小组均应当阅读供应商的澄清、说明或者更正，但应独立参考澄清、说明或者更正对响应文件进行评审，整个澄清、说明或者更正的过程不得存在排斥供应商的现象。</w:t>
      </w:r>
    </w:p>
    <w:p w14:paraId="68FAFFFC">
      <w:pPr>
        <w:widowControl/>
        <w:numPr>
          <w:ilvl w:val="0"/>
          <w:numId w:val="3"/>
        </w:numPr>
        <w:tabs>
          <w:tab w:val="left" w:pos="0"/>
        </w:tabs>
        <w:spacing w:line="360" w:lineRule="auto"/>
        <w:ind w:left="0" w:firstLine="567"/>
        <w:rPr>
          <w:rFonts w:ascii="宋体" w:hAnsi="宋体"/>
        </w:rPr>
      </w:pPr>
      <w:r>
        <w:rPr>
          <w:rFonts w:hint="eastAsia" w:ascii="宋体" w:hAnsi="宋体"/>
        </w:rPr>
        <w:t>除上述规定的情形之外，磋商小组在评审过程中，不得接收来自评审现场以外的任何形式的文件资料。</w:t>
      </w:r>
    </w:p>
    <w:p w14:paraId="20D8CFCB">
      <w:pPr>
        <w:widowControl/>
        <w:jc w:val="left"/>
        <w:rPr>
          <w:kern w:val="0"/>
        </w:rPr>
        <w:sectPr>
          <w:pgSz w:w="11906" w:h="16838"/>
          <w:pgMar w:top="1440" w:right="1800" w:bottom="1440" w:left="1800" w:header="851" w:footer="992" w:gutter="0"/>
          <w:cols w:space="720" w:num="1"/>
          <w:docGrid w:type="lines" w:linePitch="312" w:charSpace="0"/>
        </w:sectPr>
      </w:pPr>
    </w:p>
    <w:p w14:paraId="02E4A89D">
      <w:pPr>
        <w:pStyle w:val="11"/>
        <w:shd w:val="clear" w:color="auto" w:fill="FFFFFF"/>
        <w:spacing w:after="300"/>
        <w:ind w:firstLine="480"/>
        <w:outlineLvl w:val="1"/>
        <w:rPr>
          <w:color w:val="333333"/>
          <w:lang w:val="en"/>
        </w:rPr>
      </w:pPr>
      <w:r>
        <w:rPr>
          <w:rStyle w:val="16"/>
          <w:rFonts w:hint="eastAsia"/>
          <w:lang w:val="en"/>
        </w:rPr>
        <w:t>三、磋商、评审及成交</w:t>
      </w:r>
      <w:r>
        <w:rPr>
          <w:rFonts w:hint="eastAsia"/>
          <w:color w:val="333333"/>
          <w:lang w:val="en"/>
        </w:rPr>
        <w:t xml:space="preserve"> </w:t>
      </w:r>
    </w:p>
    <w:p w14:paraId="6C312825">
      <w:pPr>
        <w:pStyle w:val="11"/>
        <w:shd w:val="clear" w:color="auto" w:fill="FFFFFF"/>
        <w:ind w:firstLine="480"/>
        <w:rPr>
          <w:color w:val="333333"/>
          <w:lang w:val="en"/>
        </w:rPr>
      </w:pPr>
      <w:r>
        <w:rPr>
          <w:rFonts w:hint="eastAsia"/>
          <w:color w:val="333333"/>
          <w:lang w:val="en"/>
        </w:rPr>
        <w:t>（一）公开首次报价。</w:t>
      </w:r>
    </w:p>
    <w:p w14:paraId="1E61DBF7">
      <w:pPr>
        <w:pStyle w:val="11"/>
        <w:shd w:val="clear" w:color="auto" w:fill="FFFFFF"/>
        <w:ind w:firstLine="480"/>
        <w:rPr>
          <w:color w:val="333333"/>
          <w:lang w:val="en"/>
        </w:rPr>
      </w:pPr>
      <w:r>
        <w:rPr>
          <w:rFonts w:hint="eastAsia"/>
          <w:color w:val="333333"/>
          <w:lang w:val="en"/>
        </w:rPr>
        <w:t>1. 按规定时间，由采购中心启动开标程序，解密时间截止后，电子开标系统自动提取并记录所有响应文件，获取响应文件提交及解密情况。</w:t>
      </w:r>
    </w:p>
    <w:p w14:paraId="6BDBB018">
      <w:pPr>
        <w:pStyle w:val="11"/>
        <w:shd w:val="clear" w:color="auto" w:fill="FFFFFF"/>
        <w:ind w:firstLine="480"/>
        <w:rPr>
          <w:color w:val="333333"/>
          <w:lang w:val="en"/>
        </w:rPr>
      </w:pPr>
      <w:r>
        <w:rPr>
          <w:rFonts w:hint="eastAsia"/>
          <w:color w:val="333333"/>
          <w:lang w:val="en"/>
        </w:rPr>
        <w:t>2. 因磋商供应商原因造成响应文件未提交成功的、未解密的、无法导入电子开标系统的，响应无效，不得参与磋商。</w:t>
      </w:r>
    </w:p>
    <w:p w14:paraId="3C836F1D">
      <w:pPr>
        <w:pStyle w:val="11"/>
        <w:shd w:val="clear" w:color="auto" w:fill="FFFFFF"/>
        <w:ind w:firstLine="480"/>
        <w:rPr>
          <w:color w:val="333333"/>
          <w:lang w:val="en"/>
        </w:rPr>
      </w:pPr>
      <w:r>
        <w:rPr>
          <w:rFonts w:hint="eastAsia"/>
          <w:color w:val="333333"/>
          <w:lang w:val="en"/>
        </w:rPr>
        <w:t>3. 采购中心通过数字交易平台会员专区将《首次报价开标记录表》公开发布。</w:t>
      </w:r>
    </w:p>
    <w:p w14:paraId="4E86B63C">
      <w:pPr>
        <w:pStyle w:val="11"/>
        <w:shd w:val="clear" w:color="auto" w:fill="FFFFFF"/>
        <w:ind w:firstLine="480"/>
        <w:rPr>
          <w:color w:val="333333"/>
          <w:lang w:val="en"/>
        </w:rPr>
      </w:pPr>
      <w:r>
        <w:rPr>
          <w:rFonts w:hint="eastAsia"/>
          <w:color w:val="333333"/>
          <w:lang w:val="en"/>
        </w:rPr>
        <w:t>（二）磋商小组确定供应商谈判顺序。</w:t>
      </w:r>
    </w:p>
    <w:p w14:paraId="60EBCBE0">
      <w:pPr>
        <w:pStyle w:val="11"/>
        <w:shd w:val="clear" w:color="auto" w:fill="FFFFFF"/>
        <w:ind w:firstLine="480"/>
        <w:rPr>
          <w:color w:val="333333"/>
          <w:lang w:val="en"/>
        </w:rPr>
      </w:pPr>
      <w:r>
        <w:rPr>
          <w:rFonts w:hint="eastAsia"/>
          <w:color w:val="333333"/>
          <w:lang w:val="en"/>
        </w:rPr>
        <w:t>（三）初审。初审包括开标情况核定、资格性审查和初步符合性审查。出现不符合下表所列情形之一时，不得参与磋商，磋商小组应告知供应商并说明理由。初审相关表格如下：</w:t>
      </w:r>
    </w:p>
    <w:tbl>
      <w:tblPr>
        <w:tblStyle w:val="13"/>
        <w:tblW w:w="0" w:type="auto"/>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108" w:type="dxa"/>
          <w:bottom w:w="0" w:type="dxa"/>
          <w:right w:w="108" w:type="dxa"/>
        </w:tblCellMar>
      </w:tblPr>
      <w:tblGrid>
        <w:gridCol w:w="995"/>
        <w:gridCol w:w="7295"/>
      </w:tblGrid>
      <w:tr w14:paraId="7EFAE03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c>
          <w:tcPr>
            <w:tcW w:w="995"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08705E65">
            <w:pPr>
              <w:pStyle w:val="11"/>
              <w:wordWrap w:val="0"/>
              <w:jc w:val="center"/>
              <w:rPr>
                <w:b/>
                <w:bCs/>
                <w:kern w:val="2"/>
              </w:rPr>
            </w:pPr>
            <w:r>
              <w:rPr>
                <w:rFonts w:hint="eastAsia"/>
                <w:b/>
                <w:bCs/>
                <w:kern w:val="2"/>
              </w:rPr>
              <w:t>序号</w:t>
            </w:r>
          </w:p>
        </w:tc>
        <w:tc>
          <w:tcPr>
            <w:tcW w:w="7295"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33E67E6F">
            <w:pPr>
              <w:pStyle w:val="11"/>
              <w:wordWrap w:val="0"/>
              <w:jc w:val="center"/>
              <w:rPr>
                <w:b/>
                <w:bCs/>
                <w:kern w:val="2"/>
              </w:rPr>
            </w:pPr>
            <w:r>
              <w:rPr>
                <w:rFonts w:hint="eastAsia"/>
                <w:b/>
                <w:bCs/>
                <w:kern w:val="2"/>
              </w:rPr>
              <w:t>资格审查内容</w:t>
            </w:r>
          </w:p>
        </w:tc>
      </w:tr>
      <w:tr w14:paraId="3EC9E29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c>
          <w:tcPr>
            <w:tcW w:w="995" w:type="dxa"/>
            <w:tcBorders>
              <w:top w:val="outset" w:color="auto" w:sz="6" w:space="0"/>
              <w:left w:val="outset" w:color="auto" w:sz="6" w:space="0"/>
              <w:bottom w:val="outset" w:color="auto" w:sz="6" w:space="0"/>
              <w:right w:val="outset" w:color="auto" w:sz="6" w:space="0"/>
            </w:tcBorders>
            <w:tcMar>
              <w:top w:w="15" w:type="dxa"/>
              <w:left w:w="225" w:type="dxa"/>
              <w:bottom w:w="15" w:type="dxa"/>
              <w:right w:w="15" w:type="dxa"/>
            </w:tcMar>
            <w:vAlign w:val="center"/>
          </w:tcPr>
          <w:p w14:paraId="5C9CFBD1">
            <w:pPr>
              <w:pStyle w:val="11"/>
              <w:wordWrap w:val="0"/>
              <w:jc w:val="center"/>
              <w:rPr>
                <w:kern w:val="2"/>
              </w:rPr>
            </w:pPr>
            <w:r>
              <w:rPr>
                <w:rFonts w:hint="eastAsia"/>
                <w:kern w:val="2"/>
              </w:rPr>
              <w:t>1</w:t>
            </w:r>
          </w:p>
        </w:tc>
        <w:tc>
          <w:tcPr>
            <w:tcW w:w="7295"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2286AE20">
            <w:pPr>
              <w:pStyle w:val="11"/>
              <w:wordWrap w:val="0"/>
              <w:jc w:val="center"/>
              <w:rPr>
                <w:kern w:val="2"/>
              </w:rPr>
            </w:pPr>
            <w:r>
              <w:rPr>
                <w:rFonts w:hint="eastAsia"/>
                <w:kern w:val="2"/>
              </w:rPr>
              <w:t>满足以下所有要求：响应文件提交成功、解密成功、能正常导入电子开标系统。</w:t>
            </w:r>
          </w:p>
        </w:tc>
      </w:tr>
      <w:tr w14:paraId="413DE7A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c>
          <w:tcPr>
            <w:tcW w:w="995" w:type="dxa"/>
            <w:tcBorders>
              <w:top w:val="outset" w:color="auto" w:sz="6" w:space="0"/>
              <w:left w:val="outset" w:color="auto" w:sz="6" w:space="0"/>
              <w:bottom w:val="outset" w:color="auto" w:sz="6" w:space="0"/>
              <w:right w:val="outset" w:color="auto" w:sz="6" w:space="0"/>
            </w:tcBorders>
            <w:tcMar>
              <w:top w:w="15" w:type="dxa"/>
              <w:left w:w="225" w:type="dxa"/>
              <w:bottom w:w="15" w:type="dxa"/>
              <w:right w:w="15" w:type="dxa"/>
            </w:tcMar>
            <w:vAlign w:val="center"/>
          </w:tcPr>
          <w:p w14:paraId="2097DFA8">
            <w:pPr>
              <w:pStyle w:val="11"/>
              <w:wordWrap w:val="0"/>
              <w:jc w:val="center"/>
              <w:rPr>
                <w:kern w:val="2"/>
              </w:rPr>
            </w:pPr>
            <w:r>
              <w:rPr>
                <w:rFonts w:hint="eastAsia"/>
                <w:kern w:val="2"/>
              </w:rPr>
              <w:t>2</w:t>
            </w:r>
          </w:p>
        </w:tc>
        <w:tc>
          <w:tcPr>
            <w:tcW w:w="7295"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6DE144DD">
            <w:pPr>
              <w:pStyle w:val="11"/>
              <w:wordWrap w:val="0"/>
              <w:jc w:val="center"/>
              <w:rPr>
                <w:kern w:val="2"/>
              </w:rPr>
            </w:pPr>
            <w:r>
              <w:rPr>
                <w:rFonts w:hint="eastAsia"/>
                <w:kern w:val="2"/>
              </w:rPr>
              <w:t>满足《政府采购法》第二十二条所规定的条件；分支机构报价的，必须由总公司（总所）授权。根据以下信息进行评审：《供应商资格声明函》及其附件、分支机构的营业执照（执业许可证）扫描件及总公司（总所）出具给分支机构的授权书。</w:t>
            </w:r>
          </w:p>
        </w:tc>
      </w:tr>
      <w:tr w14:paraId="2ABA618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c>
          <w:tcPr>
            <w:tcW w:w="995" w:type="dxa"/>
            <w:tcBorders>
              <w:top w:val="outset" w:color="auto" w:sz="6" w:space="0"/>
              <w:left w:val="outset" w:color="auto" w:sz="6" w:space="0"/>
              <w:bottom w:val="outset" w:color="auto" w:sz="6" w:space="0"/>
              <w:right w:val="outset" w:color="auto" w:sz="6" w:space="0"/>
            </w:tcBorders>
            <w:tcMar>
              <w:top w:w="15" w:type="dxa"/>
              <w:left w:w="225" w:type="dxa"/>
              <w:bottom w:w="15" w:type="dxa"/>
              <w:right w:w="15" w:type="dxa"/>
            </w:tcMar>
            <w:vAlign w:val="center"/>
          </w:tcPr>
          <w:p w14:paraId="780FA62A">
            <w:pPr>
              <w:pStyle w:val="11"/>
              <w:wordWrap w:val="0"/>
              <w:jc w:val="center"/>
              <w:rPr>
                <w:kern w:val="2"/>
              </w:rPr>
            </w:pPr>
            <w:r>
              <w:rPr>
                <w:rFonts w:hint="eastAsia"/>
                <w:kern w:val="2"/>
              </w:rPr>
              <w:t>3</w:t>
            </w:r>
          </w:p>
        </w:tc>
        <w:tc>
          <w:tcPr>
            <w:tcW w:w="7295"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71DD7F3A">
            <w:pPr>
              <w:pStyle w:val="11"/>
              <w:wordWrap w:val="0"/>
              <w:jc w:val="center"/>
              <w:rPr>
                <w:kern w:val="2"/>
              </w:rPr>
            </w:pPr>
            <w:r>
              <w:rPr>
                <w:rFonts w:hint="eastAsia"/>
                <w:kern w:val="2"/>
              </w:rPr>
              <w:br w:type="textWrapping"/>
            </w:r>
            <w:r>
              <w:rPr>
                <w:rFonts w:hint="eastAsia"/>
                <w:kern w:val="2"/>
              </w:rPr>
              <w:t>供应商未被列入“信用中国”网站中“记录失信被执行人或重大税收违法案件当事人名单或政府采购严重违法失信行为”的记录名单；不处于“中国政府采购网”中“政府采购严重违法失信行为信息记录”的禁止参加政府采购活动期间（以</w:t>
            </w:r>
            <w:r>
              <w:rPr>
                <w:rFonts w:hint="eastAsia"/>
              </w:rPr>
              <w:t>磋商小组</w:t>
            </w:r>
            <w:r>
              <w:rPr>
                <w:rFonts w:hint="eastAsia"/>
                <w:kern w:val="2"/>
              </w:rPr>
              <w:t>于资格审查时在上述网站查询结果为准，如在上述网站查询结果均显示没有相关记录，视为没有上述不良信用记录。同时对信用信息查询记录和证据截图存档。如相关失信记录已失效，供应商须提供相关证明资料）。</w:t>
            </w:r>
          </w:p>
        </w:tc>
      </w:tr>
      <w:tr w14:paraId="463CD32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c>
          <w:tcPr>
            <w:tcW w:w="995" w:type="dxa"/>
            <w:tcBorders>
              <w:top w:val="outset" w:color="auto" w:sz="6" w:space="0"/>
              <w:left w:val="outset" w:color="auto" w:sz="6" w:space="0"/>
              <w:bottom w:val="outset" w:color="auto" w:sz="6" w:space="0"/>
              <w:right w:val="outset" w:color="auto" w:sz="6" w:space="0"/>
            </w:tcBorders>
            <w:tcMar>
              <w:top w:w="15" w:type="dxa"/>
              <w:left w:w="225" w:type="dxa"/>
              <w:bottom w:w="15" w:type="dxa"/>
              <w:right w:w="15" w:type="dxa"/>
            </w:tcMar>
            <w:vAlign w:val="center"/>
          </w:tcPr>
          <w:p w14:paraId="07F56F4D">
            <w:pPr>
              <w:pStyle w:val="11"/>
              <w:wordWrap w:val="0"/>
              <w:jc w:val="center"/>
              <w:rPr>
                <w:kern w:val="2"/>
              </w:rPr>
            </w:pPr>
            <w:r>
              <w:rPr>
                <w:rFonts w:hint="eastAsia"/>
                <w:kern w:val="2"/>
              </w:rPr>
              <w:t>4</w:t>
            </w:r>
          </w:p>
        </w:tc>
        <w:tc>
          <w:tcPr>
            <w:tcW w:w="7295"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7754BF8C">
            <w:pPr>
              <w:pStyle w:val="11"/>
              <w:wordWrap w:val="0"/>
              <w:jc w:val="center"/>
              <w:rPr>
                <w:kern w:val="2"/>
              </w:rPr>
            </w:pPr>
            <w:r>
              <w:rPr>
                <w:rFonts w:hint="eastAsia"/>
                <w:kern w:val="2"/>
              </w:rPr>
              <w:t>本项目不接受联合体报价。</w:t>
            </w:r>
          </w:p>
        </w:tc>
      </w:tr>
    </w:tbl>
    <w:p w14:paraId="20D1DECA">
      <w:pPr>
        <w:shd w:val="clear" w:color="auto" w:fill="FFFFFF"/>
        <w:ind w:firstLine="480"/>
        <w:rPr>
          <w:color w:val="333333"/>
          <w:lang w:val="en"/>
        </w:rPr>
      </w:pPr>
    </w:p>
    <w:tbl>
      <w:tblPr>
        <w:tblStyle w:val="13"/>
        <w:tblW w:w="0" w:type="auto"/>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108" w:type="dxa"/>
          <w:bottom w:w="0" w:type="dxa"/>
          <w:right w:w="108" w:type="dxa"/>
        </w:tblCellMar>
      </w:tblPr>
      <w:tblGrid>
        <w:gridCol w:w="995"/>
        <w:gridCol w:w="7295"/>
      </w:tblGrid>
      <w:tr w14:paraId="37DA933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c>
          <w:tcPr>
            <w:tcW w:w="995"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19B9C266">
            <w:pPr>
              <w:pStyle w:val="11"/>
              <w:wordWrap w:val="0"/>
              <w:jc w:val="center"/>
              <w:rPr>
                <w:b/>
                <w:bCs/>
                <w:kern w:val="2"/>
              </w:rPr>
            </w:pPr>
            <w:r>
              <w:rPr>
                <w:rFonts w:hint="eastAsia"/>
                <w:b/>
                <w:bCs/>
                <w:kern w:val="2"/>
              </w:rPr>
              <w:t>序号</w:t>
            </w:r>
          </w:p>
        </w:tc>
        <w:tc>
          <w:tcPr>
            <w:tcW w:w="7295"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7F802008">
            <w:pPr>
              <w:pStyle w:val="11"/>
              <w:wordWrap w:val="0"/>
              <w:jc w:val="center"/>
              <w:rPr>
                <w:b/>
                <w:bCs/>
                <w:kern w:val="2"/>
              </w:rPr>
            </w:pPr>
            <w:r>
              <w:rPr>
                <w:rFonts w:hint="eastAsia"/>
                <w:b/>
                <w:bCs/>
                <w:kern w:val="2"/>
              </w:rPr>
              <w:t>初步符合性审查内容</w:t>
            </w:r>
          </w:p>
        </w:tc>
      </w:tr>
      <w:tr w14:paraId="0ACA41E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c>
          <w:tcPr>
            <w:tcW w:w="995" w:type="dxa"/>
            <w:tcBorders>
              <w:top w:val="outset" w:color="auto" w:sz="6" w:space="0"/>
              <w:left w:val="outset" w:color="auto" w:sz="6" w:space="0"/>
              <w:bottom w:val="outset" w:color="auto" w:sz="6" w:space="0"/>
              <w:right w:val="outset" w:color="auto" w:sz="6" w:space="0"/>
            </w:tcBorders>
            <w:tcMar>
              <w:top w:w="15" w:type="dxa"/>
              <w:left w:w="225" w:type="dxa"/>
              <w:bottom w:w="15" w:type="dxa"/>
              <w:right w:w="15" w:type="dxa"/>
            </w:tcMar>
            <w:vAlign w:val="center"/>
          </w:tcPr>
          <w:p w14:paraId="62FD6AAE">
            <w:pPr>
              <w:pStyle w:val="11"/>
              <w:wordWrap w:val="0"/>
              <w:jc w:val="center"/>
              <w:rPr>
                <w:kern w:val="2"/>
              </w:rPr>
            </w:pPr>
            <w:r>
              <w:rPr>
                <w:rFonts w:hint="eastAsia"/>
                <w:kern w:val="2"/>
              </w:rPr>
              <w:t>1</w:t>
            </w:r>
          </w:p>
        </w:tc>
        <w:tc>
          <w:tcPr>
            <w:tcW w:w="7295"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35D85701">
            <w:pPr>
              <w:pStyle w:val="11"/>
              <w:wordWrap w:val="0"/>
              <w:jc w:val="center"/>
              <w:rPr>
                <w:kern w:val="2"/>
              </w:rPr>
            </w:pPr>
            <w:r>
              <w:rPr>
                <w:rFonts w:hint="eastAsia"/>
                <w:kern w:val="2"/>
              </w:rPr>
              <w:t>首次报价确定且</w:t>
            </w:r>
            <w:r>
              <w:rPr>
                <w:rFonts w:hint="eastAsia"/>
              </w:rPr>
              <w:t>不高于最高限价</w:t>
            </w:r>
          </w:p>
        </w:tc>
      </w:tr>
      <w:tr w14:paraId="081B360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c>
          <w:tcPr>
            <w:tcW w:w="995" w:type="dxa"/>
            <w:tcBorders>
              <w:top w:val="outset" w:color="auto" w:sz="6" w:space="0"/>
              <w:left w:val="outset" w:color="auto" w:sz="6" w:space="0"/>
              <w:bottom w:val="outset" w:color="auto" w:sz="6" w:space="0"/>
              <w:right w:val="outset" w:color="auto" w:sz="6" w:space="0"/>
            </w:tcBorders>
            <w:tcMar>
              <w:top w:w="15" w:type="dxa"/>
              <w:left w:w="225" w:type="dxa"/>
              <w:bottom w:w="15" w:type="dxa"/>
              <w:right w:w="15" w:type="dxa"/>
            </w:tcMar>
            <w:vAlign w:val="center"/>
          </w:tcPr>
          <w:p w14:paraId="0B208286">
            <w:pPr>
              <w:pStyle w:val="11"/>
              <w:wordWrap w:val="0"/>
              <w:jc w:val="center"/>
              <w:rPr>
                <w:kern w:val="2"/>
              </w:rPr>
            </w:pPr>
            <w:r>
              <w:rPr>
                <w:rFonts w:hint="eastAsia"/>
                <w:kern w:val="2"/>
              </w:rPr>
              <w:t>2</w:t>
            </w:r>
          </w:p>
        </w:tc>
        <w:tc>
          <w:tcPr>
            <w:tcW w:w="7295"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7C6AD7FD">
            <w:pPr>
              <w:pStyle w:val="11"/>
              <w:wordWrap w:val="0"/>
              <w:jc w:val="center"/>
              <w:rPr>
                <w:kern w:val="2"/>
              </w:rPr>
            </w:pPr>
            <w:r>
              <w:rPr>
                <w:rFonts w:hint="eastAsia"/>
                <w:kern w:val="2"/>
              </w:rPr>
              <w:t>有盖章、签署要求的带★格式文件已按要求盖章、签署。</w:t>
            </w:r>
          </w:p>
        </w:tc>
      </w:tr>
      <w:tr w14:paraId="7D958EA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c>
          <w:tcPr>
            <w:tcW w:w="995" w:type="dxa"/>
            <w:tcBorders>
              <w:top w:val="outset" w:color="auto" w:sz="6" w:space="0"/>
              <w:left w:val="outset" w:color="auto" w:sz="6" w:space="0"/>
              <w:bottom w:val="outset" w:color="auto" w:sz="6" w:space="0"/>
              <w:right w:val="outset" w:color="auto" w:sz="6" w:space="0"/>
            </w:tcBorders>
            <w:tcMar>
              <w:top w:w="15" w:type="dxa"/>
              <w:left w:w="225" w:type="dxa"/>
              <w:bottom w:w="15" w:type="dxa"/>
              <w:right w:w="15" w:type="dxa"/>
            </w:tcMar>
            <w:vAlign w:val="center"/>
          </w:tcPr>
          <w:p w14:paraId="5AF80773">
            <w:pPr>
              <w:pStyle w:val="11"/>
              <w:wordWrap w:val="0"/>
              <w:jc w:val="center"/>
              <w:rPr>
                <w:kern w:val="2"/>
              </w:rPr>
            </w:pPr>
            <w:r>
              <w:rPr>
                <w:rFonts w:hint="eastAsia"/>
                <w:kern w:val="2"/>
              </w:rPr>
              <w:t>3</w:t>
            </w:r>
          </w:p>
        </w:tc>
        <w:tc>
          <w:tcPr>
            <w:tcW w:w="7295"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4B895765">
            <w:pPr>
              <w:pStyle w:val="11"/>
              <w:wordWrap w:val="0"/>
              <w:jc w:val="center"/>
              <w:rPr>
                <w:kern w:val="2"/>
              </w:rPr>
            </w:pPr>
            <w:r>
              <w:rPr>
                <w:rFonts w:hint="eastAsia"/>
                <w:kern w:val="2"/>
              </w:rPr>
              <w:t>响应文件完全满足磋商文件中带★号的条款和指标(审查《实质性响应条款一览表》)</w:t>
            </w:r>
          </w:p>
        </w:tc>
      </w:tr>
      <w:tr w14:paraId="2DA3F91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c>
          <w:tcPr>
            <w:tcW w:w="995" w:type="dxa"/>
            <w:tcBorders>
              <w:top w:val="outset" w:color="auto" w:sz="6" w:space="0"/>
              <w:left w:val="outset" w:color="auto" w:sz="6" w:space="0"/>
              <w:bottom w:val="outset" w:color="auto" w:sz="6" w:space="0"/>
              <w:right w:val="outset" w:color="auto" w:sz="6" w:space="0"/>
            </w:tcBorders>
            <w:tcMar>
              <w:top w:w="15" w:type="dxa"/>
              <w:left w:w="225" w:type="dxa"/>
              <w:bottom w:w="15" w:type="dxa"/>
              <w:right w:w="15" w:type="dxa"/>
            </w:tcMar>
            <w:vAlign w:val="center"/>
          </w:tcPr>
          <w:p w14:paraId="0D7EE5B3">
            <w:pPr>
              <w:pStyle w:val="11"/>
              <w:wordWrap w:val="0"/>
              <w:jc w:val="center"/>
              <w:rPr>
                <w:kern w:val="2"/>
              </w:rPr>
            </w:pPr>
            <w:r>
              <w:rPr>
                <w:rFonts w:hint="eastAsia"/>
                <w:kern w:val="2"/>
              </w:rPr>
              <w:t>4</w:t>
            </w:r>
          </w:p>
        </w:tc>
        <w:tc>
          <w:tcPr>
            <w:tcW w:w="7295"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2E65CEE0">
            <w:pPr>
              <w:pStyle w:val="11"/>
              <w:wordWrap w:val="0"/>
              <w:jc w:val="center"/>
              <w:rPr>
                <w:kern w:val="2"/>
              </w:rPr>
            </w:pPr>
            <w:r>
              <w:rPr>
                <w:rFonts w:hint="eastAsia"/>
                <w:kern w:val="2"/>
              </w:rPr>
              <w:t>未发现属无效响应的其他情形（见表末说明）。</w:t>
            </w:r>
          </w:p>
        </w:tc>
      </w:tr>
    </w:tbl>
    <w:p w14:paraId="436A26A1">
      <w:pPr>
        <w:shd w:val="clear" w:color="auto" w:fill="FFFFFF"/>
        <w:ind w:firstLine="480"/>
        <w:rPr>
          <w:color w:val="333333"/>
          <w:lang w:val="en"/>
        </w:rPr>
      </w:pPr>
    </w:p>
    <w:p w14:paraId="5EA5FC40">
      <w:pPr>
        <w:pStyle w:val="11"/>
        <w:shd w:val="clear" w:color="auto" w:fill="FFFFFF"/>
        <w:ind w:firstLine="480"/>
        <w:rPr>
          <w:color w:val="333333"/>
          <w:lang w:val="en"/>
        </w:rPr>
      </w:pPr>
      <w:r>
        <w:rPr>
          <w:rStyle w:val="16"/>
          <w:rFonts w:hint="eastAsia"/>
          <w:lang w:val="en"/>
        </w:rPr>
        <w:t>说明：以下为属无效响应的其他情形。</w:t>
      </w:r>
    </w:p>
    <w:p w14:paraId="2D0FAB6D">
      <w:pPr>
        <w:pStyle w:val="11"/>
        <w:shd w:val="clear" w:color="auto" w:fill="FFFFFF"/>
        <w:ind w:firstLine="480"/>
        <w:rPr>
          <w:color w:val="333333"/>
          <w:lang w:val="en"/>
        </w:rPr>
      </w:pPr>
      <w:r>
        <w:rPr>
          <w:rFonts w:hint="eastAsia"/>
          <w:color w:val="333333"/>
          <w:lang w:val="en"/>
        </w:rPr>
        <w:t>1) 法定代表人或单位负责人为同一个人或者存在直接控股、管理关系的不同供应商，同时参加本项目或同一子项目报价的。</w:t>
      </w:r>
    </w:p>
    <w:p w14:paraId="1A5906C7">
      <w:pPr>
        <w:pStyle w:val="11"/>
        <w:shd w:val="clear" w:color="auto" w:fill="FFFFFF"/>
        <w:ind w:firstLine="480"/>
        <w:rPr>
          <w:color w:val="333333"/>
          <w:lang w:val="en"/>
        </w:rPr>
      </w:pPr>
      <w:r>
        <w:rPr>
          <w:rFonts w:hint="eastAsia"/>
          <w:color w:val="333333"/>
          <w:lang w:val="en"/>
        </w:rPr>
        <w:t>2) 供应商为本项目提供整体设计、规范编制或者项目管理、监理、检测等服务的。</w:t>
      </w:r>
    </w:p>
    <w:p w14:paraId="504BC8BE">
      <w:pPr>
        <w:pStyle w:val="11"/>
        <w:shd w:val="clear" w:color="auto" w:fill="FFFFFF"/>
        <w:ind w:firstLine="480"/>
        <w:rPr>
          <w:color w:val="333333"/>
          <w:lang w:val="en"/>
        </w:rPr>
      </w:pPr>
      <w:r>
        <w:rPr>
          <w:rFonts w:hint="eastAsia"/>
          <w:color w:val="333333"/>
          <w:lang w:val="en"/>
        </w:rPr>
        <w:t>3) 评审期间，磋商供应商没有按磋商小组的要求提交澄清、说明或更正的。</w:t>
      </w:r>
    </w:p>
    <w:p w14:paraId="31A62C1A">
      <w:pPr>
        <w:pStyle w:val="11"/>
        <w:shd w:val="clear" w:color="auto" w:fill="FFFFFF"/>
        <w:ind w:firstLine="480"/>
        <w:rPr>
          <w:color w:val="333333"/>
          <w:lang w:val="en"/>
        </w:rPr>
      </w:pPr>
      <w:r>
        <w:rPr>
          <w:rFonts w:hint="eastAsia"/>
          <w:color w:val="333333"/>
          <w:lang w:val="en"/>
        </w:rPr>
        <w:t>4) 磋商供应商对采购人、采购中心、磋商小组及其工作人员施加影响，有碍政府采购公平、公正的。</w:t>
      </w:r>
    </w:p>
    <w:p w14:paraId="6D50DDC6">
      <w:pPr>
        <w:pStyle w:val="11"/>
        <w:shd w:val="clear" w:color="auto" w:fill="FFFFFF"/>
        <w:ind w:firstLine="480"/>
        <w:rPr>
          <w:color w:val="333333"/>
          <w:lang w:val="en"/>
        </w:rPr>
      </w:pPr>
      <w:r>
        <w:rPr>
          <w:rFonts w:hint="eastAsia"/>
          <w:color w:val="333333"/>
          <w:lang w:val="en"/>
        </w:rPr>
        <w:t>5) 法律、法规和磋商文件规定的其他无效情形。</w:t>
      </w:r>
    </w:p>
    <w:p w14:paraId="2C0A3210">
      <w:pPr>
        <w:pStyle w:val="11"/>
        <w:shd w:val="clear" w:color="auto" w:fill="FFFFFF"/>
        <w:ind w:firstLine="480"/>
        <w:rPr>
          <w:color w:val="333333"/>
          <w:lang w:val="en"/>
        </w:rPr>
      </w:pPr>
      <w:r>
        <w:rPr>
          <w:rFonts w:hint="eastAsia"/>
          <w:color w:val="333333"/>
          <w:lang w:val="en"/>
        </w:rPr>
        <w:t>（四）磋商小组认为，供应商的报价明显不合理或者明显低于其他供应商报价，有可能影响商品质量和不能诚信履约的，应当要求该供应商作出书面说明并提供相关证明材料。供应商不能合理说明或者不能提供相关证明材料的，由磋商小组认定该供应商为低于成本报价，响应无效，如通过初审的供应商少于3家时，磋商小组宣布项目采购失败。</w:t>
      </w:r>
    </w:p>
    <w:p w14:paraId="7111A102">
      <w:pPr>
        <w:pStyle w:val="11"/>
        <w:shd w:val="clear" w:color="auto" w:fill="FFFFFF"/>
        <w:ind w:firstLine="480"/>
        <w:rPr>
          <w:color w:val="333333"/>
          <w:lang w:val="en"/>
        </w:rPr>
      </w:pPr>
      <w:r>
        <w:rPr>
          <w:rFonts w:hint="eastAsia"/>
          <w:color w:val="333333"/>
          <w:lang w:val="en"/>
        </w:rPr>
        <w:t>（五）磋商小组所有成员应当集中与单一供应商分别进行磋商，并给予所有参加磋商的供应商平等的磋商机会，形成《磋商纪要》。《磋商纪要》由磋商小组在电子评审系统内制作，记录需供应商答复或承诺的内容、磋商文件的变动情况及最后报价格式等。供应商不与磋商小组进行磋商的，磋商小组视为供应商退出磋商。</w:t>
      </w:r>
    </w:p>
    <w:p w14:paraId="607C7BEC">
      <w:pPr>
        <w:pStyle w:val="11"/>
        <w:shd w:val="clear" w:color="auto" w:fill="FFFFFF"/>
        <w:ind w:firstLine="480"/>
        <w:rPr>
          <w:color w:val="333333"/>
          <w:lang w:val="en"/>
        </w:rPr>
      </w:pPr>
      <w:r>
        <w:rPr>
          <w:rFonts w:hint="eastAsia"/>
          <w:color w:val="333333"/>
          <w:lang w:val="en"/>
        </w:rPr>
        <w:t>（六）供应商须由法定代表人（凭加盖单位公章的法定代表人证明书和身份证原件）或其委托代理人（凭加盖单位公章的授权委托证明书和身份证原件）现场参加磋商。如供应商未在磋商小组规定的时间内到达磋商地点进行磋商，磋商小组有权视为供应商退出磋商。供应商应在首次响应文件解密时间截止后1小时内到达磋商地点等候参加磋商。</w:t>
      </w:r>
    </w:p>
    <w:p w14:paraId="4EE54D33">
      <w:pPr>
        <w:pStyle w:val="11"/>
        <w:shd w:val="clear" w:color="auto" w:fill="FFFFFF"/>
        <w:ind w:firstLine="480"/>
        <w:rPr>
          <w:color w:val="333333"/>
          <w:lang w:val="en"/>
        </w:rPr>
      </w:pPr>
      <w:r>
        <w:rPr>
          <w:rFonts w:hint="eastAsia"/>
          <w:color w:val="333333"/>
          <w:lang w:val="en"/>
        </w:rPr>
        <w:t>（七）磋商目的在于澄清报价响应，使所有供应商的响应具有可比性。在磋商中，磋商小组及有关当事人应当严格遵循保密原则，任何人不得透露与磋商有关供应商的技术、价格和其他信息。</w:t>
      </w:r>
    </w:p>
    <w:p w14:paraId="7D0BD078">
      <w:pPr>
        <w:pStyle w:val="11"/>
        <w:shd w:val="clear" w:color="auto" w:fill="FFFFFF"/>
        <w:ind w:firstLine="480"/>
        <w:rPr>
          <w:color w:val="333333"/>
          <w:lang w:val="en"/>
        </w:rPr>
      </w:pPr>
      <w:r>
        <w:rPr>
          <w:rFonts w:hint="eastAsia"/>
          <w:color w:val="333333"/>
          <w:lang w:val="en"/>
        </w:rPr>
        <w:t>（八）磋商小组可以根据磋商文件和磋商情况实质性变动采购需求中的技术、服务要求以及合同草案条款，但不得变动磋商文件中的其他内容。磋商文件的变动内容须经采购人代表确认，并记载在《磋商纪要》中以通知所有磋商供应商。</w:t>
      </w:r>
    </w:p>
    <w:p w14:paraId="2D20DC0D">
      <w:pPr>
        <w:pStyle w:val="11"/>
        <w:shd w:val="clear" w:color="auto" w:fill="FFFFFF"/>
        <w:ind w:firstLine="480"/>
        <w:rPr>
          <w:color w:val="333333"/>
          <w:lang w:val="en"/>
        </w:rPr>
      </w:pPr>
      <w:r>
        <w:rPr>
          <w:rFonts w:hint="eastAsia"/>
          <w:color w:val="333333"/>
          <w:lang w:val="en"/>
        </w:rPr>
        <w:t>（九）磋商结束后，磋商小组应当要求所有实质性响应的供应商在规定时间内提交最后报价及有关承诺（即《磋商纪要》）。供应商在提交最后报价之前可以根据磋商情况退出磋商，提交最后报价的供应商不得少于3家，如少于3家时，磋商小组宣布项目采购失败。</w:t>
      </w:r>
    </w:p>
    <w:p w14:paraId="50BEB750">
      <w:pPr>
        <w:pStyle w:val="11"/>
        <w:shd w:val="clear" w:color="auto" w:fill="FFFFFF"/>
        <w:ind w:firstLine="480"/>
        <w:rPr>
          <w:color w:val="333333"/>
          <w:lang w:val="en"/>
        </w:rPr>
      </w:pPr>
      <w:r>
        <w:rPr>
          <w:rFonts w:hint="eastAsia"/>
          <w:color w:val="333333"/>
          <w:lang w:val="en"/>
        </w:rPr>
        <w:t xml:space="preserve">（十）供应商磋商结束后，使用数字证书登录电子评审系统填写《磋商纪要》，在该文件内提交最后报价及有关承诺，并完成电子签章。此项操作供应商须携带具有电子签章的CA证书到采购中心现场完成。《磋商纪要》是响应文件的有效组成部分。 </w:t>
      </w:r>
    </w:p>
    <w:p w14:paraId="28AC4CE7">
      <w:pPr>
        <w:pStyle w:val="11"/>
        <w:shd w:val="clear" w:color="auto" w:fill="FFFFFF"/>
        <w:ind w:firstLine="480"/>
        <w:rPr>
          <w:color w:val="333333"/>
          <w:lang w:val="en"/>
        </w:rPr>
      </w:pPr>
      <w:r>
        <w:rPr>
          <w:rFonts w:hint="eastAsia"/>
          <w:color w:val="333333"/>
          <w:lang w:val="en"/>
        </w:rPr>
        <w:t>（十一）如磋商小组没有对磋商文件作实质性变动增加新的需求，最后报价</w:t>
      </w:r>
      <w:r>
        <w:rPr>
          <w:rStyle w:val="16"/>
          <w:rFonts w:hint="eastAsia"/>
          <w:lang w:val="en"/>
        </w:rPr>
        <w:t>不得高于</w:t>
      </w:r>
      <w:r>
        <w:rPr>
          <w:rFonts w:hint="eastAsia"/>
          <w:color w:val="333333"/>
          <w:lang w:val="en"/>
        </w:rPr>
        <w:t>首次报价。</w:t>
      </w:r>
    </w:p>
    <w:p w14:paraId="101FE7EB">
      <w:pPr>
        <w:pStyle w:val="11"/>
        <w:shd w:val="clear" w:color="auto" w:fill="FFFFFF"/>
        <w:ind w:firstLine="480"/>
        <w:rPr>
          <w:color w:val="333333"/>
          <w:lang w:val="en"/>
        </w:rPr>
      </w:pPr>
      <w:r>
        <w:rPr>
          <w:rFonts w:hint="eastAsia"/>
          <w:color w:val="333333"/>
          <w:lang w:val="en"/>
        </w:rPr>
        <w:t>（十二）磋商小组在规定时间通过电子开标系统开标。</w:t>
      </w:r>
    </w:p>
    <w:p w14:paraId="44879D88">
      <w:pPr>
        <w:pStyle w:val="11"/>
        <w:shd w:val="clear" w:color="auto" w:fill="FFFFFF"/>
        <w:ind w:firstLine="480"/>
        <w:rPr>
          <w:color w:val="333333"/>
          <w:lang w:val="en"/>
        </w:rPr>
      </w:pPr>
      <w:r>
        <w:rPr>
          <w:rFonts w:hint="eastAsia"/>
          <w:color w:val="333333"/>
          <w:lang w:val="en"/>
        </w:rPr>
        <w:t>（十三）最终符合性审查</w:t>
      </w:r>
    </w:p>
    <w:p w14:paraId="09711D52">
      <w:pPr>
        <w:pStyle w:val="11"/>
        <w:shd w:val="clear" w:color="auto" w:fill="FFFFFF"/>
        <w:ind w:firstLine="480"/>
        <w:rPr>
          <w:color w:val="333333"/>
          <w:lang w:val="en"/>
        </w:rPr>
      </w:pPr>
      <w:r>
        <w:rPr>
          <w:rFonts w:hint="eastAsia"/>
          <w:color w:val="333333"/>
          <w:lang w:val="en"/>
        </w:rPr>
        <w:t>1. 最终符合性审查为审查响应文件是否实质性响应磋商文件。出现不符合下表所列情形之一的，不通过最终符合性审查。</w:t>
      </w:r>
    </w:p>
    <w:tbl>
      <w:tblPr>
        <w:tblStyle w:val="13"/>
        <w:tblW w:w="0" w:type="auto"/>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108" w:type="dxa"/>
          <w:bottom w:w="0" w:type="dxa"/>
          <w:right w:w="108" w:type="dxa"/>
        </w:tblCellMar>
      </w:tblPr>
      <w:tblGrid>
        <w:gridCol w:w="995"/>
        <w:gridCol w:w="7295"/>
      </w:tblGrid>
      <w:tr w14:paraId="601265D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c>
          <w:tcPr>
            <w:tcW w:w="995"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62338E21">
            <w:pPr>
              <w:pStyle w:val="11"/>
              <w:wordWrap w:val="0"/>
              <w:jc w:val="center"/>
              <w:rPr>
                <w:b/>
                <w:bCs/>
                <w:kern w:val="2"/>
              </w:rPr>
            </w:pPr>
            <w:r>
              <w:rPr>
                <w:rFonts w:hint="eastAsia"/>
                <w:b/>
                <w:bCs/>
                <w:kern w:val="2"/>
              </w:rPr>
              <w:t>序号</w:t>
            </w:r>
          </w:p>
        </w:tc>
        <w:tc>
          <w:tcPr>
            <w:tcW w:w="7295"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245AD8A6">
            <w:pPr>
              <w:pStyle w:val="11"/>
              <w:wordWrap w:val="0"/>
              <w:jc w:val="center"/>
              <w:rPr>
                <w:b/>
                <w:bCs/>
                <w:kern w:val="2"/>
              </w:rPr>
            </w:pPr>
            <w:r>
              <w:rPr>
                <w:rFonts w:hint="eastAsia"/>
                <w:b/>
                <w:bCs/>
                <w:kern w:val="2"/>
              </w:rPr>
              <w:t>最终符合性审查表</w:t>
            </w:r>
          </w:p>
        </w:tc>
      </w:tr>
      <w:tr w14:paraId="7ECB85B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c>
          <w:tcPr>
            <w:tcW w:w="995" w:type="dxa"/>
            <w:tcBorders>
              <w:top w:val="outset" w:color="auto" w:sz="6" w:space="0"/>
              <w:left w:val="outset" w:color="auto" w:sz="6" w:space="0"/>
              <w:bottom w:val="outset" w:color="auto" w:sz="6" w:space="0"/>
              <w:right w:val="outset" w:color="auto" w:sz="6" w:space="0"/>
            </w:tcBorders>
            <w:tcMar>
              <w:top w:w="15" w:type="dxa"/>
              <w:left w:w="225" w:type="dxa"/>
              <w:bottom w:w="15" w:type="dxa"/>
              <w:right w:w="15" w:type="dxa"/>
            </w:tcMar>
            <w:vAlign w:val="center"/>
          </w:tcPr>
          <w:p w14:paraId="01B5687C">
            <w:pPr>
              <w:pStyle w:val="11"/>
              <w:wordWrap w:val="0"/>
              <w:jc w:val="center"/>
              <w:rPr>
                <w:kern w:val="2"/>
              </w:rPr>
            </w:pPr>
            <w:r>
              <w:rPr>
                <w:rFonts w:hint="eastAsia"/>
                <w:kern w:val="2"/>
              </w:rPr>
              <w:t>1</w:t>
            </w:r>
          </w:p>
        </w:tc>
        <w:tc>
          <w:tcPr>
            <w:tcW w:w="7295"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1A49BDC0">
            <w:pPr>
              <w:pStyle w:val="11"/>
              <w:wordWrap w:val="0"/>
              <w:jc w:val="center"/>
              <w:rPr>
                <w:kern w:val="2"/>
              </w:rPr>
            </w:pPr>
            <w:r>
              <w:rPr>
                <w:rFonts w:hint="eastAsia"/>
                <w:kern w:val="2"/>
              </w:rPr>
              <w:t>最后报价确定且符合要求；如磋商小组没有对磋商文件作实质性变动增加新的需求，最后报价不得高于首次报价；未被认定低于其成本报价。</w:t>
            </w:r>
          </w:p>
        </w:tc>
      </w:tr>
      <w:tr w14:paraId="57D76A5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c>
          <w:tcPr>
            <w:tcW w:w="995" w:type="dxa"/>
            <w:tcBorders>
              <w:top w:val="outset" w:color="auto" w:sz="6" w:space="0"/>
              <w:left w:val="outset" w:color="auto" w:sz="6" w:space="0"/>
              <w:bottom w:val="outset" w:color="auto" w:sz="6" w:space="0"/>
              <w:right w:val="outset" w:color="auto" w:sz="6" w:space="0"/>
            </w:tcBorders>
            <w:tcMar>
              <w:top w:w="15" w:type="dxa"/>
              <w:left w:w="225" w:type="dxa"/>
              <w:bottom w:w="15" w:type="dxa"/>
              <w:right w:w="15" w:type="dxa"/>
            </w:tcMar>
            <w:vAlign w:val="center"/>
          </w:tcPr>
          <w:p w14:paraId="38194AA4">
            <w:pPr>
              <w:pStyle w:val="11"/>
              <w:wordWrap w:val="0"/>
              <w:jc w:val="center"/>
              <w:rPr>
                <w:kern w:val="2"/>
              </w:rPr>
            </w:pPr>
            <w:r>
              <w:rPr>
                <w:rFonts w:hint="eastAsia"/>
                <w:kern w:val="2"/>
              </w:rPr>
              <w:t>2</w:t>
            </w:r>
          </w:p>
        </w:tc>
        <w:tc>
          <w:tcPr>
            <w:tcW w:w="7295"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3F868DF5">
            <w:pPr>
              <w:pStyle w:val="11"/>
              <w:wordWrap w:val="0"/>
              <w:jc w:val="center"/>
              <w:rPr>
                <w:kern w:val="2"/>
              </w:rPr>
            </w:pPr>
            <w:r>
              <w:rPr>
                <w:rFonts w:hint="eastAsia"/>
                <w:kern w:val="2"/>
              </w:rPr>
              <w:t>有盖章、签署要求的带★格式文件已按要求盖章、签署。</w:t>
            </w:r>
          </w:p>
        </w:tc>
      </w:tr>
      <w:tr w14:paraId="37BE5AB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c>
          <w:tcPr>
            <w:tcW w:w="995" w:type="dxa"/>
            <w:tcBorders>
              <w:top w:val="outset" w:color="auto" w:sz="6" w:space="0"/>
              <w:left w:val="outset" w:color="auto" w:sz="6" w:space="0"/>
              <w:bottom w:val="outset" w:color="auto" w:sz="6" w:space="0"/>
              <w:right w:val="outset" w:color="auto" w:sz="6" w:space="0"/>
            </w:tcBorders>
            <w:tcMar>
              <w:top w:w="15" w:type="dxa"/>
              <w:left w:w="225" w:type="dxa"/>
              <w:bottom w:w="15" w:type="dxa"/>
              <w:right w:w="15" w:type="dxa"/>
            </w:tcMar>
            <w:vAlign w:val="center"/>
          </w:tcPr>
          <w:p w14:paraId="23B66005">
            <w:pPr>
              <w:pStyle w:val="11"/>
              <w:wordWrap w:val="0"/>
              <w:jc w:val="center"/>
              <w:rPr>
                <w:kern w:val="2"/>
              </w:rPr>
            </w:pPr>
            <w:r>
              <w:rPr>
                <w:rFonts w:hint="eastAsia"/>
                <w:kern w:val="2"/>
              </w:rPr>
              <w:t>3</w:t>
            </w:r>
          </w:p>
        </w:tc>
        <w:tc>
          <w:tcPr>
            <w:tcW w:w="7295"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3ADD34AA">
            <w:pPr>
              <w:pStyle w:val="11"/>
              <w:wordWrap w:val="0"/>
              <w:jc w:val="center"/>
              <w:rPr>
                <w:kern w:val="2"/>
              </w:rPr>
            </w:pPr>
            <w:r>
              <w:rPr>
                <w:rFonts w:hint="eastAsia"/>
                <w:kern w:val="2"/>
              </w:rPr>
              <w:t>响应文件完全满足磋商文件中带★号的条款和指标(审查《实质性响应条款一览表》和《磋商纪要》)。</w:t>
            </w:r>
          </w:p>
        </w:tc>
      </w:tr>
      <w:tr w14:paraId="7E83699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c>
          <w:tcPr>
            <w:tcW w:w="995" w:type="dxa"/>
            <w:tcBorders>
              <w:top w:val="outset" w:color="auto" w:sz="6" w:space="0"/>
              <w:left w:val="outset" w:color="auto" w:sz="6" w:space="0"/>
              <w:bottom w:val="outset" w:color="auto" w:sz="6" w:space="0"/>
              <w:right w:val="outset" w:color="auto" w:sz="6" w:space="0"/>
            </w:tcBorders>
            <w:tcMar>
              <w:top w:w="15" w:type="dxa"/>
              <w:left w:w="225" w:type="dxa"/>
              <w:bottom w:w="15" w:type="dxa"/>
              <w:right w:w="15" w:type="dxa"/>
            </w:tcMar>
            <w:vAlign w:val="center"/>
          </w:tcPr>
          <w:p w14:paraId="5DF5B439">
            <w:pPr>
              <w:pStyle w:val="11"/>
              <w:wordWrap w:val="0"/>
              <w:jc w:val="center"/>
              <w:rPr>
                <w:kern w:val="2"/>
              </w:rPr>
            </w:pPr>
            <w:r>
              <w:rPr>
                <w:rFonts w:hint="eastAsia"/>
                <w:kern w:val="2"/>
              </w:rPr>
              <w:t>4</w:t>
            </w:r>
          </w:p>
        </w:tc>
        <w:tc>
          <w:tcPr>
            <w:tcW w:w="7295"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5AF6B317">
            <w:pPr>
              <w:pStyle w:val="11"/>
              <w:wordWrap w:val="0"/>
              <w:jc w:val="center"/>
              <w:rPr>
                <w:kern w:val="2"/>
              </w:rPr>
            </w:pPr>
            <w:r>
              <w:rPr>
                <w:rFonts w:hint="eastAsia"/>
                <w:kern w:val="2"/>
              </w:rPr>
              <w:t>未发现属无效响应的其他情形（见表末说明）。</w:t>
            </w:r>
          </w:p>
        </w:tc>
      </w:tr>
    </w:tbl>
    <w:p w14:paraId="4343AC96">
      <w:pPr>
        <w:pStyle w:val="11"/>
        <w:shd w:val="clear" w:color="auto" w:fill="FFFFFF"/>
        <w:ind w:firstLine="480"/>
        <w:rPr>
          <w:color w:val="333333"/>
          <w:lang w:val="en"/>
        </w:rPr>
      </w:pPr>
      <w:r>
        <w:rPr>
          <w:rStyle w:val="16"/>
          <w:rFonts w:hint="eastAsia"/>
          <w:lang w:val="en"/>
        </w:rPr>
        <w:t>说明：以下为属无效响应的其他情形。</w:t>
      </w:r>
    </w:p>
    <w:p w14:paraId="4C98F192">
      <w:pPr>
        <w:pStyle w:val="11"/>
        <w:shd w:val="clear" w:color="auto" w:fill="FFFFFF"/>
        <w:ind w:firstLine="480"/>
        <w:rPr>
          <w:color w:val="333333"/>
          <w:lang w:val="en"/>
        </w:rPr>
      </w:pPr>
      <w:r>
        <w:rPr>
          <w:rFonts w:hint="eastAsia"/>
          <w:color w:val="333333"/>
          <w:lang w:val="en"/>
        </w:rPr>
        <w:t>1) 评审期间，磋商供应商没有按磋商小组的要求提交澄清、说明或更正的。</w:t>
      </w:r>
    </w:p>
    <w:p w14:paraId="771A69BD">
      <w:pPr>
        <w:pStyle w:val="11"/>
        <w:shd w:val="clear" w:color="auto" w:fill="FFFFFF"/>
        <w:ind w:firstLine="480"/>
        <w:rPr>
          <w:color w:val="333333"/>
          <w:lang w:val="en"/>
        </w:rPr>
      </w:pPr>
      <w:r>
        <w:rPr>
          <w:rFonts w:hint="eastAsia"/>
          <w:color w:val="333333"/>
          <w:lang w:val="en"/>
        </w:rPr>
        <w:t>2) 磋商供应商对采购人、采购中心、磋商小组及其工作人员施加影响，有碍政府采购公平、公正的。</w:t>
      </w:r>
    </w:p>
    <w:p w14:paraId="5E864D6B">
      <w:pPr>
        <w:pStyle w:val="11"/>
        <w:shd w:val="clear" w:color="auto" w:fill="FFFFFF"/>
        <w:ind w:firstLine="480"/>
        <w:rPr>
          <w:color w:val="333333"/>
          <w:lang w:val="en"/>
        </w:rPr>
      </w:pPr>
      <w:r>
        <w:rPr>
          <w:rFonts w:hint="eastAsia"/>
          <w:color w:val="333333"/>
          <w:lang w:val="en"/>
        </w:rPr>
        <w:t>3) 法律、法规和磋商文件规定的其他无效情形。</w:t>
      </w:r>
    </w:p>
    <w:p w14:paraId="1EB16FC4">
      <w:pPr>
        <w:pStyle w:val="11"/>
        <w:shd w:val="clear" w:color="auto" w:fill="FFFFFF"/>
        <w:ind w:firstLine="480"/>
        <w:rPr>
          <w:color w:val="333333"/>
          <w:lang w:val="en"/>
        </w:rPr>
      </w:pPr>
      <w:r>
        <w:rPr>
          <w:rFonts w:hint="eastAsia"/>
          <w:color w:val="333333"/>
          <w:lang w:val="en"/>
        </w:rPr>
        <w:t>2.磋商小组认为，供应商的最后报价明显不合理或者明显低于其他供应商报价，有可能影响商品质量和不能诚信履约的，应当要求该供应商作出书面说明并提供相关证明材料。供应商不能合理说明或者不能提供相关证明材料的，由磋商小组认定该供应商为低于成本报价，响应无效。</w:t>
      </w:r>
    </w:p>
    <w:p w14:paraId="1032EE84">
      <w:pPr>
        <w:pStyle w:val="11"/>
        <w:shd w:val="clear" w:color="auto" w:fill="FFFFFF"/>
        <w:ind w:firstLine="480"/>
        <w:rPr>
          <w:color w:val="333333"/>
          <w:lang w:val="en"/>
        </w:rPr>
      </w:pPr>
      <w:r>
        <w:rPr>
          <w:rFonts w:hint="eastAsia"/>
          <w:color w:val="333333"/>
          <w:lang w:val="en"/>
        </w:rPr>
        <w:t>3. 对不通过最终符合性审查的供应商，磋商小组应告知该供应商并说明理由，采购代理机构应在资格审查报告中以书面形式解释其排除的具体原因。</w:t>
      </w:r>
    </w:p>
    <w:p w14:paraId="07153F07">
      <w:pPr>
        <w:pStyle w:val="11"/>
        <w:shd w:val="clear" w:color="auto" w:fill="FFFFFF"/>
        <w:ind w:firstLine="480"/>
        <w:rPr>
          <w:color w:val="333333"/>
          <w:lang w:val="en"/>
        </w:rPr>
      </w:pPr>
      <w:r>
        <w:rPr>
          <w:rFonts w:hint="eastAsia"/>
          <w:color w:val="333333"/>
          <w:lang w:val="en"/>
        </w:rPr>
        <w:t>4. 通过资格性和符合性审查的有效供应商方可进入综合评分阶段。如通过最终符合性审查少于3家时，磋商小组宣布项目采购失败。</w:t>
      </w:r>
    </w:p>
    <w:p w14:paraId="086D181D">
      <w:pPr>
        <w:pStyle w:val="11"/>
        <w:shd w:val="clear" w:color="auto" w:fill="FFFFFF"/>
        <w:ind w:firstLine="480"/>
        <w:rPr>
          <w:color w:val="333333"/>
          <w:lang w:val="en"/>
        </w:rPr>
      </w:pPr>
      <w:r>
        <w:rPr>
          <w:rFonts w:hint="eastAsia"/>
          <w:color w:val="333333"/>
          <w:lang w:val="en"/>
        </w:rPr>
        <w:t>（十四）综合评分</w:t>
      </w:r>
    </w:p>
    <w:p w14:paraId="17F7D2CF">
      <w:pPr>
        <w:pStyle w:val="11"/>
        <w:shd w:val="clear" w:color="auto" w:fill="FFFFFF"/>
        <w:ind w:firstLine="480"/>
        <w:rPr>
          <w:color w:val="333333"/>
          <w:lang w:val="en"/>
        </w:rPr>
      </w:pPr>
      <w:r>
        <w:rPr>
          <w:rFonts w:hint="eastAsia"/>
          <w:color w:val="333333"/>
          <w:lang w:val="en"/>
        </w:rPr>
        <w:t>1. 本次评审采用综合评分法。评审以磋商文件规定的条件为依据。评分比重构成如下：</w:t>
      </w:r>
    </w:p>
    <w:tbl>
      <w:tblPr>
        <w:tblStyle w:val="13"/>
        <w:tblW w:w="0" w:type="auto"/>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108" w:type="dxa"/>
          <w:bottom w:w="0" w:type="dxa"/>
          <w:right w:w="108" w:type="dxa"/>
        </w:tblCellMar>
      </w:tblPr>
      <w:tblGrid>
        <w:gridCol w:w="5803"/>
        <w:gridCol w:w="2487"/>
      </w:tblGrid>
      <w:tr w14:paraId="0E77E18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c>
          <w:tcPr>
            <w:tcW w:w="5803"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7EE51575">
            <w:pPr>
              <w:pStyle w:val="11"/>
              <w:wordWrap w:val="0"/>
              <w:jc w:val="center"/>
              <w:rPr>
                <w:b/>
                <w:bCs/>
                <w:kern w:val="2"/>
              </w:rPr>
            </w:pPr>
            <w:r>
              <w:rPr>
                <w:rFonts w:hint="eastAsia"/>
                <w:b/>
                <w:bCs/>
                <w:kern w:val="2"/>
              </w:rPr>
              <w:t>评分项目</w:t>
            </w:r>
          </w:p>
        </w:tc>
        <w:tc>
          <w:tcPr>
            <w:tcW w:w="2487"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7F9C5C9A">
            <w:pPr>
              <w:pStyle w:val="11"/>
              <w:wordWrap w:val="0"/>
              <w:jc w:val="center"/>
              <w:rPr>
                <w:b/>
                <w:bCs/>
                <w:kern w:val="2"/>
              </w:rPr>
            </w:pPr>
            <w:r>
              <w:rPr>
                <w:rFonts w:hint="eastAsia"/>
                <w:b/>
                <w:bCs/>
                <w:kern w:val="2"/>
              </w:rPr>
              <w:t>分值</w:t>
            </w:r>
          </w:p>
        </w:tc>
      </w:tr>
      <w:tr w14:paraId="0B79599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c>
          <w:tcPr>
            <w:tcW w:w="5803"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7C907B08">
            <w:pPr>
              <w:pStyle w:val="11"/>
              <w:wordWrap w:val="0"/>
              <w:jc w:val="center"/>
              <w:rPr>
                <w:kern w:val="2"/>
              </w:rPr>
            </w:pPr>
            <w:r>
              <w:rPr>
                <w:rFonts w:hint="eastAsia"/>
                <w:kern w:val="2"/>
              </w:rPr>
              <w:t>技术评分</w:t>
            </w:r>
          </w:p>
        </w:tc>
        <w:tc>
          <w:tcPr>
            <w:tcW w:w="2487"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5F36E4B1">
            <w:pPr>
              <w:pStyle w:val="11"/>
              <w:wordWrap w:val="0"/>
              <w:jc w:val="center"/>
              <w:rPr>
                <w:kern w:val="2"/>
              </w:rPr>
            </w:pPr>
            <w:r>
              <w:rPr>
                <w:rFonts w:hint="eastAsia"/>
                <w:kern w:val="2"/>
              </w:rPr>
              <w:t>50</w:t>
            </w:r>
          </w:p>
        </w:tc>
      </w:tr>
      <w:tr w14:paraId="67E2E2D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c>
          <w:tcPr>
            <w:tcW w:w="5803"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47CDBC72">
            <w:pPr>
              <w:pStyle w:val="11"/>
              <w:wordWrap w:val="0"/>
              <w:jc w:val="center"/>
              <w:rPr>
                <w:kern w:val="2"/>
              </w:rPr>
            </w:pPr>
            <w:r>
              <w:rPr>
                <w:rFonts w:hint="eastAsia"/>
                <w:kern w:val="2"/>
              </w:rPr>
              <w:t>商务评分</w:t>
            </w:r>
          </w:p>
        </w:tc>
        <w:tc>
          <w:tcPr>
            <w:tcW w:w="2487"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12AC90E9">
            <w:pPr>
              <w:pStyle w:val="11"/>
              <w:wordWrap w:val="0"/>
              <w:jc w:val="center"/>
              <w:rPr>
                <w:kern w:val="2"/>
              </w:rPr>
            </w:pPr>
            <w:r>
              <w:rPr>
                <w:kern w:val="2"/>
              </w:rPr>
              <w:t>25</w:t>
            </w:r>
          </w:p>
        </w:tc>
      </w:tr>
      <w:tr w14:paraId="42B4D8D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c>
          <w:tcPr>
            <w:tcW w:w="5803"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53A1C6A7">
            <w:pPr>
              <w:pStyle w:val="11"/>
              <w:wordWrap w:val="0"/>
              <w:jc w:val="center"/>
              <w:rPr>
                <w:kern w:val="2"/>
              </w:rPr>
            </w:pPr>
            <w:r>
              <w:rPr>
                <w:rFonts w:hint="eastAsia"/>
                <w:kern w:val="2"/>
              </w:rPr>
              <w:t>综合信用评价评分</w:t>
            </w:r>
          </w:p>
        </w:tc>
        <w:tc>
          <w:tcPr>
            <w:tcW w:w="2487"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3B3B8CC6">
            <w:pPr>
              <w:pStyle w:val="11"/>
              <w:wordWrap w:val="0"/>
              <w:jc w:val="center"/>
              <w:rPr>
                <w:kern w:val="2"/>
              </w:rPr>
            </w:pPr>
            <w:r>
              <w:rPr>
                <w:rFonts w:hint="eastAsia"/>
                <w:kern w:val="2"/>
              </w:rPr>
              <w:t>5</w:t>
            </w:r>
          </w:p>
        </w:tc>
      </w:tr>
      <w:tr w14:paraId="4DA60D2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c>
          <w:tcPr>
            <w:tcW w:w="5803"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1EEA034A">
            <w:pPr>
              <w:pStyle w:val="11"/>
              <w:wordWrap w:val="0"/>
              <w:jc w:val="center"/>
              <w:rPr>
                <w:kern w:val="2"/>
              </w:rPr>
            </w:pPr>
            <w:r>
              <w:rPr>
                <w:rFonts w:hint="eastAsia"/>
                <w:kern w:val="2"/>
              </w:rPr>
              <w:t>价格评分</w:t>
            </w:r>
          </w:p>
        </w:tc>
        <w:tc>
          <w:tcPr>
            <w:tcW w:w="2487"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29FDECC1">
            <w:pPr>
              <w:pStyle w:val="11"/>
              <w:wordWrap w:val="0"/>
              <w:jc w:val="center"/>
              <w:rPr>
                <w:kern w:val="2"/>
              </w:rPr>
            </w:pPr>
            <w:r>
              <w:rPr>
                <w:rFonts w:hint="eastAsia"/>
                <w:kern w:val="2"/>
              </w:rPr>
              <w:t>2</w:t>
            </w:r>
            <w:r>
              <w:rPr>
                <w:kern w:val="2"/>
              </w:rPr>
              <w:t>0</w:t>
            </w:r>
          </w:p>
        </w:tc>
      </w:tr>
    </w:tbl>
    <w:p w14:paraId="740FB48A">
      <w:pPr>
        <w:pStyle w:val="11"/>
        <w:shd w:val="clear" w:color="auto" w:fill="FFFFFF"/>
        <w:ind w:firstLine="480"/>
        <w:rPr>
          <w:color w:val="333333"/>
          <w:lang w:val="en"/>
        </w:rPr>
      </w:pPr>
      <w:r>
        <w:rPr>
          <w:rFonts w:hint="eastAsia"/>
          <w:color w:val="333333"/>
          <w:lang w:val="en"/>
        </w:rPr>
        <w:t>2.技术评分</w:t>
      </w:r>
    </w:p>
    <w:p w14:paraId="2555A1C1">
      <w:pPr>
        <w:pStyle w:val="11"/>
        <w:shd w:val="clear" w:color="auto" w:fill="FFFFFF"/>
        <w:ind w:firstLine="480"/>
        <w:rPr>
          <w:color w:val="333333"/>
          <w:lang w:val="en"/>
        </w:rPr>
      </w:pPr>
      <w:r>
        <w:rPr>
          <w:rFonts w:hint="eastAsia"/>
          <w:color w:val="333333"/>
          <w:lang w:val="en"/>
        </w:rPr>
        <w:t xml:space="preserve">（1）由磋商小组成员对所有有效响应文件的技术和服务响应方案进行审核和分析，填写《技术评分表》，如下： </w:t>
      </w:r>
    </w:p>
    <w:tbl>
      <w:tblPr>
        <w:tblStyle w:val="13"/>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922"/>
        <w:gridCol w:w="2307"/>
        <w:gridCol w:w="5076"/>
      </w:tblGrid>
      <w:tr w14:paraId="5977E89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922" w:type="dxa"/>
            <w:tcBorders>
              <w:top w:val="single" w:color="auto" w:sz="2" w:space="0"/>
              <w:left w:val="single" w:color="auto" w:sz="2" w:space="0"/>
              <w:bottom w:val="single" w:color="auto" w:sz="2" w:space="0"/>
              <w:right w:val="single" w:color="auto" w:sz="2" w:space="0"/>
            </w:tcBorders>
          </w:tcPr>
          <w:p w14:paraId="65439A8D">
            <w:pPr>
              <w:jc w:val="center"/>
            </w:pPr>
            <w:r>
              <w:rPr>
                <w:rFonts w:hint="eastAsia"/>
              </w:rPr>
              <w:t>评审因素</w:t>
            </w:r>
          </w:p>
        </w:tc>
        <w:tc>
          <w:tcPr>
            <w:tcW w:w="7383" w:type="dxa"/>
            <w:gridSpan w:val="2"/>
            <w:tcBorders>
              <w:top w:val="single" w:color="auto" w:sz="2" w:space="0"/>
              <w:left w:val="single" w:color="auto" w:sz="2" w:space="0"/>
              <w:bottom w:val="single" w:color="auto" w:sz="2" w:space="0"/>
              <w:right w:val="single" w:color="auto" w:sz="2" w:space="0"/>
            </w:tcBorders>
          </w:tcPr>
          <w:p w14:paraId="71987D34">
            <w:pPr>
              <w:jc w:val="center"/>
            </w:pPr>
            <w:r>
              <w:rPr>
                <w:rFonts w:hint="eastAsia"/>
              </w:rPr>
              <w:t>评审标准</w:t>
            </w:r>
          </w:p>
        </w:tc>
      </w:tr>
      <w:tr w14:paraId="31C4ECF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922" w:type="dxa"/>
            <w:vMerge w:val="restart"/>
            <w:tcBorders>
              <w:top w:val="single" w:color="auto" w:sz="2" w:space="0"/>
              <w:left w:val="single" w:color="auto" w:sz="2" w:space="0"/>
              <w:bottom w:val="single" w:color="auto" w:sz="2" w:space="0"/>
              <w:right w:val="single" w:color="auto" w:sz="2" w:space="0"/>
            </w:tcBorders>
          </w:tcPr>
          <w:p w14:paraId="0BF2B765">
            <w:pPr>
              <w:jc w:val="center"/>
            </w:pPr>
            <w:r>
              <w:rPr>
                <w:rFonts w:hint="eastAsia"/>
              </w:rPr>
              <w:t>技术部分</w:t>
            </w:r>
          </w:p>
        </w:tc>
        <w:tc>
          <w:tcPr>
            <w:tcW w:w="2307" w:type="dxa"/>
            <w:tcBorders>
              <w:top w:val="single" w:color="auto" w:sz="2" w:space="0"/>
              <w:left w:val="single" w:color="auto" w:sz="2" w:space="0"/>
              <w:bottom w:val="single" w:color="auto" w:sz="2" w:space="0"/>
              <w:right w:val="single" w:color="auto" w:sz="2" w:space="0"/>
            </w:tcBorders>
            <w:vAlign w:val="center"/>
          </w:tcPr>
          <w:p w14:paraId="57F8492F">
            <w:pPr>
              <w:jc w:val="left"/>
            </w:pPr>
            <w:r>
              <w:rPr>
                <w:rFonts w:hint="eastAsia" w:ascii="宋体" w:hAnsi="宋体"/>
                <w:szCs w:val="24"/>
              </w:rPr>
              <w:t>服务响应保障（10分）</w:t>
            </w:r>
          </w:p>
        </w:tc>
        <w:tc>
          <w:tcPr>
            <w:tcW w:w="5076" w:type="dxa"/>
            <w:tcBorders>
              <w:top w:val="single" w:color="auto" w:sz="2" w:space="0"/>
              <w:left w:val="single" w:color="auto" w:sz="2" w:space="0"/>
              <w:bottom w:val="single" w:color="auto" w:sz="2" w:space="0"/>
              <w:right w:val="single" w:color="auto" w:sz="2" w:space="0"/>
            </w:tcBorders>
            <w:vAlign w:val="center"/>
          </w:tcPr>
          <w:p w14:paraId="166BACE6">
            <w:pPr>
              <w:spacing w:line="360" w:lineRule="auto"/>
              <w:rPr>
                <w:rFonts w:ascii="宋体" w:hAnsi="宋体"/>
              </w:rPr>
            </w:pPr>
            <w:r>
              <w:rPr>
                <w:rFonts w:hint="eastAsia" w:ascii="宋体" w:hAnsi="宋体"/>
              </w:rPr>
              <w:t>出现故障后，供应商承诺抵达时间</w:t>
            </w:r>
            <w:r>
              <w:rPr>
                <w:rFonts w:hint="eastAsia" w:ascii="宋体" w:hAnsi="宋体"/>
                <w:szCs w:val="24"/>
              </w:rPr>
              <w:t>≤</w:t>
            </w:r>
            <w:r>
              <w:rPr>
                <w:rFonts w:hint="eastAsia" w:ascii="宋体" w:hAnsi="宋体"/>
              </w:rPr>
              <w:t>2小时，得10分；2小时&lt;承诺抵达时间</w:t>
            </w:r>
            <w:r>
              <w:rPr>
                <w:rFonts w:hint="eastAsia" w:ascii="宋体" w:hAnsi="宋体"/>
                <w:szCs w:val="24"/>
              </w:rPr>
              <w:t>≤</w:t>
            </w:r>
            <w:r>
              <w:rPr>
                <w:rFonts w:hint="eastAsia" w:ascii="宋体" w:hAnsi="宋体"/>
              </w:rPr>
              <w:t>3小时，得7分；</w:t>
            </w:r>
          </w:p>
          <w:p w14:paraId="2105C17C">
            <w:pPr>
              <w:spacing w:line="360" w:lineRule="auto"/>
              <w:rPr>
                <w:rFonts w:ascii="宋体" w:hAnsi="宋体"/>
              </w:rPr>
            </w:pPr>
            <w:r>
              <w:rPr>
                <w:rFonts w:hint="eastAsia" w:ascii="宋体" w:hAnsi="宋体"/>
              </w:rPr>
              <w:t>3小时&lt;承诺抵达时间</w:t>
            </w:r>
            <w:r>
              <w:rPr>
                <w:rFonts w:hint="eastAsia" w:ascii="宋体" w:hAnsi="宋体"/>
                <w:szCs w:val="24"/>
              </w:rPr>
              <w:t>≤</w:t>
            </w:r>
            <w:r>
              <w:rPr>
                <w:rFonts w:hint="eastAsia" w:ascii="宋体" w:hAnsi="宋体"/>
              </w:rPr>
              <w:t>4小时，得4分；</w:t>
            </w:r>
          </w:p>
          <w:p w14:paraId="61B844E9">
            <w:pPr>
              <w:spacing w:line="360" w:lineRule="auto"/>
              <w:rPr>
                <w:rFonts w:ascii="宋体" w:hAnsi="宋体"/>
              </w:rPr>
            </w:pPr>
            <w:r>
              <w:rPr>
                <w:rFonts w:hint="eastAsia" w:ascii="宋体" w:hAnsi="宋体"/>
              </w:rPr>
              <w:t>4小时&lt;承诺抵达时间，得1分；</w:t>
            </w:r>
          </w:p>
          <w:p w14:paraId="357D2BD5">
            <w:pPr>
              <w:jc w:val="left"/>
            </w:pPr>
            <w:r>
              <w:rPr>
                <w:rFonts w:hint="eastAsia" w:ascii="宋体" w:hAnsi="宋体"/>
              </w:rPr>
              <w:t>其他情况或无响应，不得分。</w:t>
            </w:r>
          </w:p>
        </w:tc>
      </w:tr>
      <w:tr w14:paraId="6E2814D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922" w:type="dxa"/>
            <w:vMerge w:val="continue"/>
            <w:tcBorders>
              <w:top w:val="single" w:color="auto" w:sz="2" w:space="0"/>
              <w:left w:val="single" w:color="auto" w:sz="2" w:space="0"/>
              <w:bottom w:val="single" w:color="auto" w:sz="2" w:space="0"/>
              <w:right w:val="single" w:color="auto" w:sz="2" w:space="0"/>
            </w:tcBorders>
            <w:vAlign w:val="center"/>
          </w:tcPr>
          <w:p w14:paraId="5273C0CF">
            <w:pPr>
              <w:widowControl/>
              <w:jc w:val="left"/>
            </w:pPr>
          </w:p>
        </w:tc>
        <w:tc>
          <w:tcPr>
            <w:tcW w:w="2307" w:type="dxa"/>
            <w:tcBorders>
              <w:top w:val="single" w:color="auto" w:sz="2" w:space="0"/>
              <w:left w:val="single" w:color="auto" w:sz="2" w:space="0"/>
              <w:bottom w:val="single" w:color="auto" w:sz="2" w:space="0"/>
              <w:right w:val="single" w:color="auto" w:sz="2" w:space="0"/>
            </w:tcBorders>
          </w:tcPr>
          <w:p w14:paraId="04824B8F">
            <w:pPr>
              <w:jc w:val="left"/>
            </w:pPr>
            <w:r>
              <w:rPr>
                <w:rFonts w:hint="eastAsia"/>
              </w:rPr>
              <w:t>总体维保服务方案 (15.0分)</w:t>
            </w:r>
          </w:p>
        </w:tc>
        <w:tc>
          <w:tcPr>
            <w:tcW w:w="5076" w:type="dxa"/>
            <w:tcBorders>
              <w:top w:val="single" w:color="auto" w:sz="2" w:space="0"/>
              <w:left w:val="single" w:color="auto" w:sz="2" w:space="0"/>
              <w:bottom w:val="single" w:color="auto" w:sz="2" w:space="0"/>
              <w:right w:val="single" w:color="auto" w:sz="2" w:space="0"/>
            </w:tcBorders>
          </w:tcPr>
          <w:p w14:paraId="764B18CC">
            <w:pPr>
              <w:jc w:val="left"/>
            </w:pPr>
            <w:r>
              <w:rPr>
                <w:rFonts w:hint="eastAsia"/>
              </w:rPr>
              <w:t>根据供应商提供的维修保养方案（包括但不限于：故障解决方案，维修人员派遣计划、维修服务标准）进行综合评价： 维修保养方案内容完整，安排详细，可实施性强的，并能根据项目情况提出优化建议，完全满足或优于采购需求，得15分；维修保养方案内容完整，安排详细，可实施性强的，未能根据项目情况提出优化建议，完全满足采购需求，得10分； 维修保养方案内容基本完整，安排基本详细，部分满足采购需求，得6分； 维修保养方案内容不完整，安排不详细，无法保障能够满足实际需求的，得2分； 未提供维修保养方案，不得分。</w:t>
            </w:r>
          </w:p>
        </w:tc>
      </w:tr>
      <w:tr w14:paraId="5DEC6F6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922" w:type="dxa"/>
            <w:vMerge w:val="continue"/>
            <w:tcBorders>
              <w:top w:val="single" w:color="auto" w:sz="2" w:space="0"/>
              <w:left w:val="single" w:color="auto" w:sz="2" w:space="0"/>
              <w:bottom w:val="single" w:color="auto" w:sz="2" w:space="0"/>
              <w:right w:val="single" w:color="auto" w:sz="2" w:space="0"/>
            </w:tcBorders>
            <w:vAlign w:val="center"/>
          </w:tcPr>
          <w:p w14:paraId="6B9AEF00">
            <w:pPr>
              <w:widowControl/>
              <w:jc w:val="left"/>
            </w:pPr>
          </w:p>
        </w:tc>
        <w:tc>
          <w:tcPr>
            <w:tcW w:w="2307" w:type="dxa"/>
            <w:tcBorders>
              <w:top w:val="single" w:color="auto" w:sz="2" w:space="0"/>
              <w:left w:val="single" w:color="auto" w:sz="2" w:space="0"/>
              <w:bottom w:val="single" w:color="auto" w:sz="2" w:space="0"/>
              <w:right w:val="single" w:color="auto" w:sz="2" w:space="0"/>
            </w:tcBorders>
          </w:tcPr>
          <w:p w14:paraId="683588C2">
            <w:pPr>
              <w:jc w:val="left"/>
            </w:pPr>
            <w:r>
              <w:rPr>
                <w:rFonts w:hint="eastAsia"/>
              </w:rPr>
              <w:t>定期保养管理制度 (10.0分)</w:t>
            </w:r>
          </w:p>
        </w:tc>
        <w:tc>
          <w:tcPr>
            <w:tcW w:w="5076" w:type="dxa"/>
            <w:tcBorders>
              <w:top w:val="single" w:color="auto" w:sz="2" w:space="0"/>
              <w:left w:val="single" w:color="auto" w:sz="2" w:space="0"/>
              <w:bottom w:val="single" w:color="auto" w:sz="2" w:space="0"/>
              <w:right w:val="single" w:color="auto" w:sz="2" w:space="0"/>
            </w:tcBorders>
          </w:tcPr>
          <w:p w14:paraId="40DA8888">
            <w:pPr>
              <w:jc w:val="left"/>
            </w:pPr>
            <w:r>
              <w:rPr>
                <w:rFonts w:hint="eastAsia"/>
              </w:rPr>
              <w:t>根据投标人提供的定期保养管理制度、组织机构、运作流程方面进行综合评价： 管理制度齐全，组织机构完善，运作流程规范、标准性强，完全满足或优于得10分；管理制度基本齐全，组织机构基本完善，运作流程基本规范和标准的，满足部分采购需求，得5分； 具有部分管理制度但尚不够齐全，运作流程不规范和标准的，得1分； 未提供说明不得分。</w:t>
            </w:r>
          </w:p>
        </w:tc>
      </w:tr>
      <w:tr w14:paraId="7DE9CFB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922" w:type="dxa"/>
            <w:vMerge w:val="continue"/>
            <w:tcBorders>
              <w:top w:val="single" w:color="auto" w:sz="2" w:space="0"/>
              <w:left w:val="single" w:color="auto" w:sz="2" w:space="0"/>
              <w:bottom w:val="single" w:color="auto" w:sz="2" w:space="0"/>
              <w:right w:val="single" w:color="auto" w:sz="2" w:space="0"/>
            </w:tcBorders>
            <w:vAlign w:val="center"/>
          </w:tcPr>
          <w:p w14:paraId="024F601B">
            <w:pPr>
              <w:widowControl/>
              <w:jc w:val="left"/>
            </w:pPr>
          </w:p>
        </w:tc>
        <w:tc>
          <w:tcPr>
            <w:tcW w:w="2307" w:type="dxa"/>
            <w:tcBorders>
              <w:top w:val="single" w:color="auto" w:sz="2" w:space="0"/>
              <w:left w:val="single" w:color="auto" w:sz="2" w:space="0"/>
              <w:bottom w:val="single" w:color="auto" w:sz="2" w:space="0"/>
              <w:right w:val="single" w:color="auto" w:sz="2" w:space="0"/>
            </w:tcBorders>
          </w:tcPr>
          <w:p w14:paraId="5AF2EA61">
            <w:pPr>
              <w:jc w:val="left"/>
            </w:pPr>
            <w:r>
              <w:rPr>
                <w:rFonts w:hint="eastAsia"/>
              </w:rPr>
              <w:t>应急保障服务方案 (10.0分)</w:t>
            </w:r>
          </w:p>
        </w:tc>
        <w:tc>
          <w:tcPr>
            <w:tcW w:w="5076" w:type="dxa"/>
            <w:tcBorders>
              <w:top w:val="single" w:color="auto" w:sz="2" w:space="0"/>
              <w:left w:val="single" w:color="auto" w:sz="2" w:space="0"/>
              <w:bottom w:val="single" w:color="auto" w:sz="2" w:space="0"/>
              <w:right w:val="single" w:color="auto" w:sz="2" w:space="0"/>
            </w:tcBorders>
          </w:tcPr>
          <w:p w14:paraId="4F97758B">
            <w:pPr>
              <w:jc w:val="left"/>
            </w:pPr>
            <w:r>
              <w:rPr>
                <w:rFonts w:hint="eastAsia"/>
              </w:rPr>
              <w:t>根据投标人提供的应急保障服务方案（应急服务原则，应急服务方式，应急服务管理制度和应急服务响应时间等）进行评审： 1、针对本项目提出合理、可行的应急方案，突发事件的处理措施和应急预案全面、详细、具体的，得10分； 2、针对本项目的应急方案，突发事件的处理措施和应急预案基本可行的，得5分； 3、针对本项目的应急方案，突发事件的处理措施和应急预案简单、不全面的，得 2分； 4、不提供方案不得分。</w:t>
            </w:r>
          </w:p>
        </w:tc>
      </w:tr>
      <w:tr w14:paraId="4816914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922" w:type="dxa"/>
            <w:tcBorders>
              <w:top w:val="single" w:color="auto" w:sz="2" w:space="0"/>
              <w:left w:val="single" w:color="auto" w:sz="2" w:space="0"/>
              <w:bottom w:val="single" w:color="auto" w:sz="2" w:space="0"/>
              <w:right w:val="single" w:color="auto" w:sz="2" w:space="0"/>
            </w:tcBorders>
          </w:tcPr>
          <w:p w14:paraId="32AB74F8"/>
        </w:tc>
        <w:tc>
          <w:tcPr>
            <w:tcW w:w="2307" w:type="dxa"/>
            <w:tcBorders>
              <w:top w:val="single" w:color="auto" w:sz="2" w:space="0"/>
              <w:left w:val="single" w:color="auto" w:sz="2" w:space="0"/>
              <w:bottom w:val="single" w:color="auto" w:sz="2" w:space="0"/>
              <w:right w:val="single" w:color="auto" w:sz="2" w:space="0"/>
            </w:tcBorders>
          </w:tcPr>
          <w:p w14:paraId="58042F12">
            <w:pPr>
              <w:jc w:val="left"/>
            </w:pPr>
            <w:r>
              <w:rPr>
                <w:rFonts w:hint="eastAsia"/>
              </w:rPr>
              <w:t>保密承诺（5分）</w:t>
            </w:r>
          </w:p>
        </w:tc>
        <w:tc>
          <w:tcPr>
            <w:tcW w:w="5076" w:type="dxa"/>
            <w:tcBorders>
              <w:top w:val="single" w:color="auto" w:sz="2" w:space="0"/>
              <w:left w:val="single" w:color="auto" w:sz="2" w:space="0"/>
              <w:bottom w:val="single" w:color="auto" w:sz="2" w:space="0"/>
              <w:right w:val="single" w:color="auto" w:sz="2" w:space="0"/>
            </w:tcBorders>
          </w:tcPr>
          <w:p w14:paraId="066D68E3">
            <w:pPr>
              <w:jc w:val="left"/>
            </w:pPr>
            <w:r>
              <w:rPr>
                <w:rFonts w:hint="eastAsia"/>
              </w:rPr>
              <w:t>投标人根据采购需求-保密要求内容提供承诺函，完全满足采购需求，得5分；无或其他情况不得分。</w:t>
            </w:r>
          </w:p>
        </w:tc>
      </w:tr>
    </w:tbl>
    <w:p w14:paraId="1FA0D8B7">
      <w:pPr>
        <w:pStyle w:val="11"/>
        <w:shd w:val="clear" w:color="auto" w:fill="FFFFFF"/>
        <w:ind w:firstLine="480"/>
        <w:rPr>
          <w:color w:val="333333"/>
          <w:lang w:val="en"/>
        </w:rPr>
      </w:pPr>
      <w:r>
        <w:rPr>
          <w:rFonts w:hint="eastAsia"/>
          <w:color w:val="333333"/>
          <w:lang w:val="en"/>
        </w:rPr>
        <w:t>（2）将所有磋商小组成员所评各项的得分进行算术平均（按四舍五入原则精确到小数点后三位），再汇总得出该供应商的技术评分（按四舍五入原则精确到小数点后两位）。</w:t>
      </w:r>
    </w:p>
    <w:p w14:paraId="03C7B6DC">
      <w:pPr>
        <w:shd w:val="clear" w:color="auto" w:fill="FFFFFF"/>
        <w:ind w:firstLine="480"/>
        <w:rPr>
          <w:color w:val="333333"/>
          <w:lang w:val="en"/>
        </w:rPr>
      </w:pPr>
    </w:p>
    <w:p w14:paraId="358D341A">
      <w:pPr>
        <w:pStyle w:val="11"/>
        <w:shd w:val="clear" w:color="auto" w:fill="FFFFFF"/>
        <w:ind w:firstLine="480"/>
        <w:rPr>
          <w:color w:val="333333"/>
          <w:lang w:val="en"/>
        </w:rPr>
      </w:pPr>
      <w:r>
        <w:rPr>
          <w:rFonts w:hint="eastAsia"/>
          <w:color w:val="333333"/>
          <w:lang w:val="en"/>
        </w:rPr>
        <w:t>3.商务评分</w:t>
      </w:r>
    </w:p>
    <w:p w14:paraId="45992A60">
      <w:pPr>
        <w:pStyle w:val="11"/>
        <w:shd w:val="clear" w:color="auto" w:fill="FFFFFF"/>
        <w:ind w:firstLine="480"/>
        <w:rPr>
          <w:color w:val="333333"/>
          <w:lang w:val="en"/>
        </w:rPr>
      </w:pPr>
      <w:r>
        <w:rPr>
          <w:rFonts w:hint="eastAsia"/>
          <w:color w:val="333333"/>
          <w:lang w:val="en"/>
        </w:rPr>
        <w:t xml:space="preserve">（1）由磋商小组成员对所有有效响应文件的商务条件进行审核和评价，填写《商务评分表》，如下： </w:t>
      </w:r>
    </w:p>
    <w:tbl>
      <w:tblPr>
        <w:tblStyle w:val="13"/>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64"/>
        <w:gridCol w:w="1800"/>
        <w:gridCol w:w="5742"/>
      </w:tblGrid>
      <w:tr w14:paraId="72A84AE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764" w:type="dxa"/>
            <w:vMerge w:val="restart"/>
            <w:tcBorders>
              <w:top w:val="single" w:color="auto" w:sz="2" w:space="0"/>
              <w:left w:val="single" w:color="auto" w:sz="2" w:space="0"/>
              <w:bottom w:val="single" w:color="auto" w:sz="2" w:space="0"/>
              <w:right w:val="single" w:color="auto" w:sz="2" w:space="0"/>
            </w:tcBorders>
          </w:tcPr>
          <w:p w14:paraId="37A3290F">
            <w:pPr>
              <w:jc w:val="center"/>
            </w:pPr>
            <w:r>
              <w:rPr>
                <w:rFonts w:hint="eastAsia"/>
              </w:rPr>
              <w:t>商务部分</w:t>
            </w:r>
          </w:p>
        </w:tc>
        <w:tc>
          <w:tcPr>
            <w:tcW w:w="1800" w:type="dxa"/>
            <w:tcBorders>
              <w:top w:val="single" w:color="auto" w:sz="2" w:space="0"/>
              <w:left w:val="single" w:color="auto" w:sz="2" w:space="0"/>
              <w:bottom w:val="single" w:color="auto" w:sz="2" w:space="0"/>
              <w:right w:val="single" w:color="auto" w:sz="2" w:space="0"/>
            </w:tcBorders>
          </w:tcPr>
          <w:p w14:paraId="5E24B2F1">
            <w:pPr>
              <w:jc w:val="left"/>
            </w:pPr>
            <w:r>
              <w:rPr>
                <w:rFonts w:hint="eastAsia"/>
              </w:rPr>
              <w:t>评审因素</w:t>
            </w:r>
          </w:p>
        </w:tc>
        <w:tc>
          <w:tcPr>
            <w:tcW w:w="5742" w:type="dxa"/>
            <w:tcBorders>
              <w:top w:val="single" w:color="auto" w:sz="2" w:space="0"/>
              <w:left w:val="single" w:color="auto" w:sz="2" w:space="0"/>
              <w:bottom w:val="single" w:color="auto" w:sz="2" w:space="0"/>
              <w:right w:val="single" w:color="auto" w:sz="2" w:space="0"/>
            </w:tcBorders>
          </w:tcPr>
          <w:p w14:paraId="3A3105C7">
            <w:pPr>
              <w:jc w:val="left"/>
            </w:pPr>
            <w:r>
              <w:rPr>
                <w:rFonts w:hint="eastAsia"/>
              </w:rPr>
              <w:t>评审标准</w:t>
            </w:r>
          </w:p>
        </w:tc>
      </w:tr>
      <w:tr w14:paraId="3FC880B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764" w:type="dxa"/>
            <w:vMerge w:val="continue"/>
            <w:tcBorders>
              <w:top w:val="single" w:color="auto" w:sz="2" w:space="0"/>
              <w:left w:val="single" w:color="auto" w:sz="2" w:space="0"/>
              <w:bottom w:val="single" w:color="auto" w:sz="2" w:space="0"/>
              <w:right w:val="single" w:color="auto" w:sz="2" w:space="0"/>
            </w:tcBorders>
            <w:vAlign w:val="center"/>
          </w:tcPr>
          <w:p w14:paraId="002DD7A4">
            <w:pPr>
              <w:widowControl/>
              <w:jc w:val="left"/>
            </w:pPr>
          </w:p>
        </w:tc>
        <w:tc>
          <w:tcPr>
            <w:tcW w:w="1800" w:type="dxa"/>
            <w:tcBorders>
              <w:top w:val="single" w:color="auto" w:sz="2" w:space="0"/>
              <w:left w:val="single" w:color="auto" w:sz="2" w:space="0"/>
              <w:bottom w:val="single" w:color="auto" w:sz="2" w:space="0"/>
              <w:right w:val="single" w:color="auto" w:sz="2" w:space="0"/>
            </w:tcBorders>
          </w:tcPr>
          <w:p w14:paraId="1D2DFE76">
            <w:pPr>
              <w:jc w:val="left"/>
            </w:pPr>
            <w:r>
              <w:rPr>
                <w:rFonts w:hint="eastAsia"/>
              </w:rPr>
              <w:t>供应商资质情况 (9.0分)</w:t>
            </w:r>
          </w:p>
        </w:tc>
        <w:tc>
          <w:tcPr>
            <w:tcW w:w="5742" w:type="dxa"/>
            <w:tcBorders>
              <w:top w:val="single" w:color="auto" w:sz="2" w:space="0"/>
              <w:left w:val="single" w:color="auto" w:sz="2" w:space="0"/>
              <w:bottom w:val="single" w:color="auto" w:sz="2" w:space="0"/>
              <w:right w:val="single" w:color="auto" w:sz="2" w:space="0"/>
            </w:tcBorders>
          </w:tcPr>
          <w:p w14:paraId="66D3AC33">
            <w:pPr>
              <w:jc w:val="left"/>
            </w:pPr>
            <w:r>
              <w:rPr>
                <w:rFonts w:hint="eastAsia"/>
              </w:rPr>
              <w:t>（1）质量管理体系认证证书； （2）环境管理体系认证证书； （3）职业健康安全管理体系认证证书； 每提供一个得3 分，本项最高9分。响应文件须提供以上认证材料扫描件及在全国认证认可信息公共服务平台（http://cx.cnca.cn/CertECloud/result/skipResultList）的对证书的查询截图，证书的有效性以上述网站公布的网页截图为准，不提供不得分。</w:t>
            </w:r>
          </w:p>
        </w:tc>
      </w:tr>
      <w:tr w14:paraId="02DB30A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764" w:type="dxa"/>
            <w:vMerge w:val="continue"/>
            <w:tcBorders>
              <w:top w:val="single" w:color="auto" w:sz="2" w:space="0"/>
              <w:left w:val="single" w:color="auto" w:sz="2" w:space="0"/>
              <w:bottom w:val="single" w:color="auto" w:sz="2" w:space="0"/>
              <w:right w:val="single" w:color="auto" w:sz="2" w:space="0"/>
            </w:tcBorders>
            <w:vAlign w:val="center"/>
          </w:tcPr>
          <w:p w14:paraId="0E6CEE52">
            <w:pPr>
              <w:widowControl/>
              <w:jc w:val="left"/>
            </w:pPr>
          </w:p>
        </w:tc>
        <w:tc>
          <w:tcPr>
            <w:tcW w:w="1800" w:type="dxa"/>
            <w:tcBorders>
              <w:top w:val="single" w:color="auto" w:sz="2" w:space="0"/>
              <w:left w:val="single" w:color="auto" w:sz="2" w:space="0"/>
              <w:bottom w:val="single" w:color="auto" w:sz="2" w:space="0"/>
              <w:right w:val="single" w:color="auto" w:sz="2" w:space="0"/>
            </w:tcBorders>
          </w:tcPr>
          <w:p w14:paraId="3243D4A4">
            <w:pPr>
              <w:jc w:val="left"/>
            </w:pPr>
            <w:r>
              <w:rPr>
                <w:rFonts w:hint="eastAsia"/>
              </w:rPr>
              <w:t>服务团队相关从业经验 (5.0分)</w:t>
            </w:r>
          </w:p>
        </w:tc>
        <w:tc>
          <w:tcPr>
            <w:tcW w:w="5742" w:type="dxa"/>
            <w:tcBorders>
              <w:top w:val="single" w:color="auto" w:sz="2" w:space="0"/>
              <w:left w:val="single" w:color="auto" w:sz="2" w:space="0"/>
              <w:bottom w:val="single" w:color="auto" w:sz="2" w:space="0"/>
              <w:right w:val="single" w:color="auto" w:sz="2" w:space="0"/>
            </w:tcBorders>
          </w:tcPr>
          <w:p w14:paraId="7E9DC9C9">
            <w:pPr>
              <w:jc w:val="left"/>
            </w:pPr>
            <w:r>
              <w:rPr>
                <w:rFonts w:hint="eastAsia"/>
              </w:rPr>
              <w:t>根据项目服务人员与本项目相关工作经验进行评审（以服务人员的工作合同作为证明材料，不同任职单位可累计计算），项目服务人员中有工作经验在5年（含）以上的， 一名人员得1分，本项最高得4分。备注：以上人员提供①在供应商服务的外部证明材料，如报价截止日之前六个月以内任意月份的代缴个税税单或参加社会保险的《投保单》或《社会保险参保人员证明》等。</w:t>
            </w:r>
          </w:p>
        </w:tc>
      </w:tr>
      <w:tr w14:paraId="4ABA12C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764" w:type="dxa"/>
            <w:vMerge w:val="continue"/>
            <w:tcBorders>
              <w:top w:val="single" w:color="auto" w:sz="2" w:space="0"/>
              <w:left w:val="single" w:color="auto" w:sz="2" w:space="0"/>
              <w:bottom w:val="single" w:color="auto" w:sz="2" w:space="0"/>
              <w:right w:val="single" w:color="auto" w:sz="2" w:space="0"/>
            </w:tcBorders>
            <w:vAlign w:val="center"/>
          </w:tcPr>
          <w:p w14:paraId="55F54E0C">
            <w:pPr>
              <w:widowControl/>
              <w:jc w:val="left"/>
            </w:pPr>
          </w:p>
        </w:tc>
        <w:tc>
          <w:tcPr>
            <w:tcW w:w="1800" w:type="dxa"/>
            <w:tcBorders>
              <w:top w:val="single" w:color="auto" w:sz="2" w:space="0"/>
              <w:left w:val="single" w:color="auto" w:sz="2" w:space="0"/>
              <w:bottom w:val="single" w:color="auto" w:sz="2" w:space="0"/>
              <w:right w:val="single" w:color="auto" w:sz="2" w:space="0"/>
            </w:tcBorders>
          </w:tcPr>
          <w:p w14:paraId="39DF0579">
            <w:pPr>
              <w:jc w:val="left"/>
            </w:pPr>
            <w:r>
              <w:rPr>
                <w:rFonts w:hint="eastAsia"/>
              </w:rPr>
              <w:t>依据2020年以来，客户评价（ 依据《业绩一览表》的业绩评价情况） (</w:t>
            </w:r>
            <w:r>
              <w:t>5</w:t>
            </w:r>
            <w:r>
              <w:rPr>
                <w:rFonts w:hint="eastAsia"/>
              </w:rPr>
              <w:t>.0分)</w:t>
            </w:r>
          </w:p>
        </w:tc>
        <w:tc>
          <w:tcPr>
            <w:tcW w:w="5742" w:type="dxa"/>
            <w:tcBorders>
              <w:top w:val="single" w:color="auto" w:sz="2" w:space="0"/>
              <w:left w:val="single" w:color="auto" w:sz="2" w:space="0"/>
              <w:bottom w:val="single" w:color="auto" w:sz="2" w:space="0"/>
              <w:right w:val="single" w:color="auto" w:sz="2" w:space="0"/>
            </w:tcBorders>
          </w:tcPr>
          <w:p w14:paraId="70F20603">
            <w:pPr>
              <w:jc w:val="left"/>
            </w:pPr>
            <w:r>
              <w:rPr>
                <w:rFonts w:hint="eastAsia"/>
              </w:rPr>
              <w:t>每有一项正面评价（优秀、优良、良好、满意或相当于类似评价）得1分，最高得</w:t>
            </w:r>
            <w:r>
              <w:t>5</w:t>
            </w:r>
            <w:r>
              <w:rPr>
                <w:rFonts w:hint="eastAsia"/>
              </w:rPr>
              <w:t>分。客户评价必须盖有业主公章。同一客户或同一项目提供多项用户满意度评价的，按一项计算。</w:t>
            </w:r>
          </w:p>
        </w:tc>
      </w:tr>
      <w:tr w14:paraId="32DA684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764" w:type="dxa"/>
            <w:vMerge w:val="continue"/>
            <w:tcBorders>
              <w:top w:val="single" w:color="auto" w:sz="2" w:space="0"/>
              <w:left w:val="single" w:color="auto" w:sz="2" w:space="0"/>
              <w:bottom w:val="single" w:color="auto" w:sz="2" w:space="0"/>
              <w:right w:val="single" w:color="auto" w:sz="2" w:space="0"/>
            </w:tcBorders>
            <w:vAlign w:val="center"/>
          </w:tcPr>
          <w:p w14:paraId="12B0DF3D">
            <w:pPr>
              <w:widowControl/>
              <w:jc w:val="left"/>
            </w:pPr>
          </w:p>
        </w:tc>
        <w:tc>
          <w:tcPr>
            <w:tcW w:w="1800" w:type="dxa"/>
            <w:tcBorders>
              <w:top w:val="single" w:color="auto" w:sz="2" w:space="0"/>
              <w:left w:val="single" w:color="auto" w:sz="2" w:space="0"/>
              <w:bottom w:val="single" w:color="auto" w:sz="2" w:space="0"/>
              <w:right w:val="single" w:color="auto" w:sz="2" w:space="0"/>
            </w:tcBorders>
          </w:tcPr>
          <w:p w14:paraId="3EA051E5">
            <w:pPr>
              <w:jc w:val="left"/>
            </w:pPr>
            <w:r>
              <w:rPr>
                <w:rFonts w:hint="eastAsia"/>
              </w:rPr>
              <w:t>同类项目经验【分支机构报价的，总公司（总所）业绩可纳入评审】  (5.0分)</w:t>
            </w:r>
          </w:p>
        </w:tc>
        <w:tc>
          <w:tcPr>
            <w:tcW w:w="5742" w:type="dxa"/>
            <w:tcBorders>
              <w:top w:val="single" w:color="auto" w:sz="2" w:space="0"/>
              <w:left w:val="single" w:color="auto" w:sz="2" w:space="0"/>
              <w:bottom w:val="single" w:color="auto" w:sz="2" w:space="0"/>
              <w:right w:val="single" w:color="auto" w:sz="2" w:space="0"/>
            </w:tcBorders>
          </w:tcPr>
          <w:p w14:paraId="680D0217">
            <w:pPr>
              <w:jc w:val="left"/>
            </w:pPr>
            <w:r>
              <w:rPr>
                <w:rFonts w:hint="eastAsia"/>
              </w:rPr>
              <w:t>提供2020年1月1日至今完成过同类项目业绩的每个得1分，以合同签订时间为准，最高得5分。（响应文件以提供合同扫描件作为证明材料，不提供不得分）。</w:t>
            </w:r>
          </w:p>
        </w:tc>
      </w:tr>
      <w:tr w14:paraId="19F09C0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764" w:type="dxa"/>
            <w:vMerge w:val="continue"/>
            <w:tcBorders>
              <w:top w:val="single" w:color="auto" w:sz="2" w:space="0"/>
              <w:left w:val="single" w:color="auto" w:sz="2" w:space="0"/>
              <w:bottom w:val="single" w:color="auto" w:sz="2" w:space="0"/>
              <w:right w:val="single" w:color="auto" w:sz="2" w:space="0"/>
            </w:tcBorders>
            <w:vAlign w:val="center"/>
          </w:tcPr>
          <w:p w14:paraId="0E31DFF9">
            <w:pPr>
              <w:widowControl/>
              <w:jc w:val="left"/>
            </w:pPr>
          </w:p>
        </w:tc>
        <w:tc>
          <w:tcPr>
            <w:tcW w:w="1800" w:type="dxa"/>
            <w:tcBorders>
              <w:top w:val="single" w:color="auto" w:sz="2" w:space="0"/>
              <w:left w:val="single" w:color="auto" w:sz="2" w:space="0"/>
              <w:bottom w:val="single" w:color="auto" w:sz="2" w:space="0"/>
              <w:right w:val="single" w:color="auto" w:sz="2" w:space="0"/>
            </w:tcBorders>
          </w:tcPr>
          <w:p w14:paraId="78677F79">
            <w:pPr>
              <w:jc w:val="left"/>
            </w:pPr>
            <w:r>
              <w:rPr>
                <w:rFonts w:hint="eastAsia"/>
              </w:rPr>
              <w:t>对非重大违法违规记录的扣分 (1.0分)</w:t>
            </w:r>
          </w:p>
        </w:tc>
        <w:tc>
          <w:tcPr>
            <w:tcW w:w="5742" w:type="dxa"/>
            <w:tcBorders>
              <w:top w:val="single" w:color="auto" w:sz="2" w:space="0"/>
              <w:left w:val="single" w:color="auto" w:sz="2" w:space="0"/>
              <w:bottom w:val="single" w:color="auto" w:sz="2" w:space="0"/>
              <w:right w:val="single" w:color="auto" w:sz="2" w:space="0"/>
            </w:tcBorders>
          </w:tcPr>
          <w:p w14:paraId="24188302">
            <w:pPr>
              <w:jc w:val="left"/>
            </w:pPr>
            <w:r>
              <w:rPr>
                <w:rFonts w:hint="eastAsia"/>
              </w:rPr>
              <w:t>以“信用中国”（www.creditchina.gov.cn）网站为查询渠道：对列入行 政处罚或经营异常的供应商每一条记录扣0.1分，最高扣1分。如查询结果显示没有相关记录，视为没有上述非重大违法违规记录，则不扣分。以评标委员会于评审时在上述网站查询结果为准，评标委员会应将上述记录查询情况截图存档。注：总公司（总所）投标的，只查询总公司（总所）； 分支机构（分所）投标的，只查询该分支机构。</w:t>
            </w:r>
          </w:p>
        </w:tc>
      </w:tr>
    </w:tbl>
    <w:p w14:paraId="1D9A9B11">
      <w:pPr>
        <w:pStyle w:val="11"/>
        <w:shd w:val="clear" w:color="auto" w:fill="FFFFFF"/>
        <w:ind w:firstLine="480"/>
        <w:rPr>
          <w:color w:val="333333"/>
          <w:lang w:val="en"/>
        </w:rPr>
      </w:pPr>
      <w:r>
        <w:rPr>
          <w:rFonts w:hint="eastAsia"/>
          <w:color w:val="333333"/>
          <w:lang w:val="en"/>
        </w:rPr>
        <w:t>说明：上表所列为供应商的商务条件。请供应商严格按照要求提交相关证明材料，否则有可能影响评审结果。</w:t>
      </w:r>
    </w:p>
    <w:p w14:paraId="6217D8B0">
      <w:pPr>
        <w:pStyle w:val="11"/>
        <w:shd w:val="clear" w:color="auto" w:fill="FFFFFF"/>
        <w:ind w:firstLine="480"/>
        <w:rPr>
          <w:color w:val="333333"/>
          <w:lang w:val="en"/>
        </w:rPr>
      </w:pPr>
      <w:r>
        <w:rPr>
          <w:rFonts w:hint="eastAsia"/>
          <w:color w:val="333333"/>
          <w:lang w:val="en"/>
        </w:rPr>
        <w:t>（2）将所有磋商小组成员所评各项的得分进行算术平均（按四舍五入原则精确到小数点后三位），再汇总得出该供应商的商务评分（按四舍五入原则精确到小数点后两位）。</w:t>
      </w:r>
    </w:p>
    <w:p w14:paraId="1876A284">
      <w:pPr>
        <w:pStyle w:val="11"/>
        <w:shd w:val="clear" w:color="auto" w:fill="FFFFFF"/>
        <w:ind w:firstLine="480"/>
        <w:rPr>
          <w:color w:val="333333"/>
          <w:lang w:val="en"/>
        </w:rPr>
      </w:pPr>
      <w:r>
        <w:rPr>
          <w:rFonts w:hint="eastAsia"/>
          <w:color w:val="333333"/>
          <w:lang w:val="en"/>
        </w:rPr>
        <w:t>4.价格评审</w:t>
      </w:r>
    </w:p>
    <w:p w14:paraId="27B5F01A">
      <w:pPr>
        <w:pStyle w:val="11"/>
        <w:shd w:val="clear" w:color="auto" w:fill="FFFFFF"/>
        <w:ind w:firstLine="480"/>
        <w:rPr>
          <w:color w:val="333333"/>
          <w:lang w:val="en"/>
        </w:rPr>
      </w:pPr>
      <w:r>
        <w:rPr>
          <w:rFonts w:hint="eastAsia"/>
          <w:color w:val="333333"/>
          <w:lang w:val="en"/>
        </w:rPr>
        <w:t>(1) 价格核准：磋商小组对最后报价进行复核，看其是否有计算错误或供货范围上的错误，修正错误的原则参见本章的第二条第（二）点。</w:t>
      </w:r>
    </w:p>
    <w:p w14:paraId="6550583E">
      <w:pPr>
        <w:pStyle w:val="11"/>
        <w:shd w:val="clear" w:color="auto" w:fill="FFFFFF"/>
        <w:ind w:firstLine="480"/>
        <w:rPr>
          <w:color w:val="333333"/>
          <w:lang w:val="en"/>
        </w:rPr>
      </w:pPr>
      <w:r>
        <w:rPr>
          <w:rFonts w:hint="eastAsia"/>
          <w:color w:val="333333"/>
          <w:lang w:val="en"/>
        </w:rPr>
        <w:t>(2) 依据供应商提供的《适用政府采购政策情况表》（如有）、相关声明函或证明材料，磋商小组成员进行以下价格扣除</w:t>
      </w:r>
      <w:r>
        <w:rPr>
          <w:rStyle w:val="16"/>
          <w:rFonts w:hint="eastAsia"/>
          <w:lang w:val="en"/>
        </w:rPr>
        <w:t>（均以最后报价为基准）：</w:t>
      </w:r>
    </w:p>
    <w:p w14:paraId="378DBC49">
      <w:pPr>
        <w:pStyle w:val="11"/>
        <w:shd w:val="clear" w:color="auto" w:fill="FFFFFF"/>
        <w:ind w:firstLine="480"/>
        <w:rPr>
          <w:color w:val="333333"/>
          <w:lang w:val="en"/>
        </w:rPr>
      </w:pPr>
      <w:r>
        <w:rPr>
          <w:rFonts w:hint="eastAsia"/>
          <w:color w:val="333333"/>
          <w:lang w:val="en"/>
        </w:rPr>
        <w:t xml:space="preserve">依照《政府采购促进中小企业发展管理办法》的相关规定，凡符合要求的有效磋商供应商，按照以下比例给予相应的价格扣除： </w:t>
      </w:r>
    </w:p>
    <w:p w14:paraId="5FD7ABCB">
      <w:pPr>
        <w:pStyle w:val="11"/>
        <w:shd w:val="clear" w:color="auto" w:fill="FFFFFF"/>
        <w:ind w:firstLine="480"/>
        <w:rPr>
          <w:color w:val="333333"/>
          <w:lang w:val="en"/>
        </w:rPr>
      </w:pPr>
      <w:r>
        <w:rPr>
          <w:rFonts w:hint="eastAsia"/>
          <w:color w:val="333333"/>
          <w:lang w:val="en"/>
        </w:rPr>
        <w:t xml:space="preserve">A．对于不属于专门面向中小微企业采购的采购项目或预留份额项目中的非预留部分采购包，对符合《政府采购促进中小企业发展管理办法》规定的小微企业报价给予 </w:t>
      </w:r>
      <w:r>
        <w:rPr>
          <w:color w:val="333333"/>
          <w:lang w:val="en"/>
        </w:rPr>
        <w:t>10</w:t>
      </w:r>
      <w:r>
        <w:rPr>
          <w:rFonts w:hint="eastAsia"/>
          <w:color w:val="333333"/>
          <w:lang w:val="en"/>
        </w:rPr>
        <w:t xml:space="preserve">%的扣除，用扣除后的价格参加评审。 </w:t>
      </w:r>
    </w:p>
    <w:p w14:paraId="2657D1A5">
      <w:pPr>
        <w:pStyle w:val="11"/>
        <w:shd w:val="clear" w:color="auto" w:fill="FFFFFF"/>
        <w:ind w:firstLine="480"/>
        <w:rPr>
          <w:color w:val="333333"/>
          <w:lang w:val="en"/>
        </w:rPr>
      </w:pPr>
      <w:r>
        <w:rPr>
          <w:rFonts w:hint="eastAsia"/>
          <w:color w:val="333333"/>
          <w:lang w:val="en"/>
        </w:rPr>
        <w:t xml:space="preserve">B．接受大中型企业与小微企业组成联合体或者允许大中型企业向一家或者多家小微企业分包的采购项目，对于联合协议或者分包意向协议约定小微企业的合同份额占到合同总金额 </w:t>
      </w:r>
      <w:r>
        <w:rPr>
          <w:color w:val="333333"/>
          <w:lang w:val="en"/>
        </w:rPr>
        <w:t>4</w:t>
      </w:r>
      <w:r>
        <w:rPr>
          <w:rFonts w:hint="eastAsia"/>
          <w:color w:val="333333"/>
          <w:lang w:val="en"/>
        </w:rPr>
        <w:t>0%以上的，采购人、采购代理机构应当对联合体或者大中型企业的报价给予</w:t>
      </w:r>
      <w:r>
        <w:rPr>
          <w:color w:val="333333"/>
          <w:lang w:val="en"/>
        </w:rPr>
        <w:t>4</w:t>
      </w:r>
      <w:r>
        <w:rPr>
          <w:rFonts w:hint="eastAsia"/>
          <w:color w:val="333333"/>
          <w:lang w:val="en"/>
        </w:rPr>
        <w:t xml:space="preserve">%的扣除，用扣除后的价格参加评审。 </w:t>
      </w:r>
    </w:p>
    <w:p w14:paraId="516D175C">
      <w:pPr>
        <w:pStyle w:val="11"/>
        <w:shd w:val="clear" w:color="auto" w:fill="FFFFFF"/>
        <w:ind w:firstLine="480"/>
        <w:rPr>
          <w:color w:val="333333"/>
          <w:lang w:val="en"/>
        </w:rPr>
      </w:pPr>
      <w:r>
        <w:rPr>
          <w:rFonts w:hint="eastAsia"/>
          <w:color w:val="333333"/>
          <w:lang w:val="en"/>
        </w:rPr>
        <w:t xml:space="preserve">注： </w:t>
      </w:r>
    </w:p>
    <w:p w14:paraId="661105A0">
      <w:pPr>
        <w:pStyle w:val="11"/>
        <w:shd w:val="clear" w:color="auto" w:fill="FFFFFF"/>
        <w:ind w:firstLine="480"/>
        <w:rPr>
          <w:color w:val="333333"/>
          <w:lang w:val="en"/>
        </w:rPr>
      </w:pPr>
      <w:r>
        <w:rPr>
          <w:rFonts w:hint="eastAsia"/>
          <w:color w:val="333333"/>
          <w:lang w:val="en"/>
        </w:rPr>
        <w:t xml:space="preserve">1.组成联合体或者接受分包的小微企业与联合体内其他企业、分包企业之间存在直接控股、管理关系的，不享受价格扣除优惠政策。价格扣除比例对小型企业和微型企业同等对待，不作区分。 </w:t>
      </w:r>
    </w:p>
    <w:p w14:paraId="6029ECD0">
      <w:pPr>
        <w:pStyle w:val="11"/>
        <w:shd w:val="clear" w:color="auto" w:fill="FFFFFF"/>
        <w:ind w:firstLine="480"/>
        <w:rPr>
          <w:color w:val="333333"/>
          <w:lang w:val="en"/>
        </w:rPr>
      </w:pPr>
      <w:r>
        <w:rPr>
          <w:rFonts w:hint="eastAsia"/>
          <w:color w:val="333333"/>
          <w:lang w:val="en"/>
        </w:rPr>
        <w:t xml:space="preserve">2.在货物采购项目中，供应商提供的货物既有中小微企业制造货物，也有大型企业制造货物的，不享受《政府采购促进中小企业发展管理办法》规定的中小微企业扶持政策。 </w:t>
      </w:r>
    </w:p>
    <w:p w14:paraId="4089374B">
      <w:pPr>
        <w:pStyle w:val="11"/>
        <w:shd w:val="clear" w:color="auto" w:fill="FFFFFF"/>
        <w:ind w:firstLine="480"/>
        <w:rPr>
          <w:color w:val="333333"/>
          <w:lang w:val="en"/>
        </w:rPr>
      </w:pPr>
      <w:r>
        <w:rPr>
          <w:rFonts w:hint="eastAsia"/>
          <w:color w:val="333333"/>
          <w:lang w:val="en"/>
        </w:rPr>
        <w:t>（3）计算报价得分：报价得分统一采用低价优先法计算，各有效磋商供应商的最后磋商报价（指最后报价经修正、折扣后的报价）中，取最低价为磋商基准价，其报价得分为满分。其他磋商供应商的报价得分统一按照下列公式计算：</w:t>
      </w:r>
    </w:p>
    <w:p w14:paraId="0E0267D3">
      <w:pPr>
        <w:pStyle w:val="11"/>
        <w:shd w:val="clear" w:color="auto" w:fill="FFFFFF"/>
        <w:ind w:firstLine="480"/>
        <w:rPr>
          <w:color w:val="333333"/>
          <w:lang w:val="en"/>
        </w:rPr>
      </w:pPr>
      <w:r>
        <w:rPr>
          <w:rFonts w:hint="eastAsia"/>
          <w:color w:val="333333"/>
          <w:lang w:val="en"/>
        </w:rPr>
        <w:t>投标报价价格评分=（磋商基准价÷最后磋商报价）×2</w:t>
      </w:r>
      <w:r>
        <w:rPr>
          <w:color w:val="333333"/>
          <w:lang w:val="en"/>
        </w:rPr>
        <w:t>0</w:t>
      </w:r>
      <w:r>
        <w:rPr>
          <w:rFonts w:hint="eastAsia"/>
          <w:color w:val="333333"/>
          <w:lang w:val="en"/>
        </w:rPr>
        <w:t xml:space="preserve"> 分</w:t>
      </w:r>
    </w:p>
    <w:p w14:paraId="6F471147">
      <w:pPr>
        <w:pStyle w:val="11"/>
        <w:shd w:val="clear" w:color="auto" w:fill="FFFFFF"/>
        <w:ind w:firstLine="480"/>
        <w:rPr>
          <w:color w:val="333333"/>
          <w:lang w:val="en"/>
        </w:rPr>
      </w:pPr>
      <w:r>
        <w:rPr>
          <w:rFonts w:hint="eastAsia"/>
          <w:color w:val="333333"/>
          <w:lang w:val="en"/>
        </w:rPr>
        <w:t>（4）最后磋商报价仅用于计算报价得分，成交金额以最后报价为准。</w:t>
      </w:r>
    </w:p>
    <w:p w14:paraId="5E044E97">
      <w:pPr>
        <w:pStyle w:val="11"/>
        <w:shd w:val="clear" w:color="auto" w:fill="FFFFFF"/>
        <w:ind w:firstLine="480"/>
        <w:rPr>
          <w:color w:val="333333"/>
          <w:lang w:val="en"/>
        </w:rPr>
      </w:pPr>
      <w:r>
        <w:rPr>
          <w:rFonts w:hint="eastAsia"/>
          <w:color w:val="333333"/>
          <w:lang w:val="en"/>
        </w:rPr>
        <w:t>5.综合信用评价得分评审（属于商务评分的一部分）（适用于实行信用评价体系2.0的项目）</w:t>
      </w:r>
    </w:p>
    <w:p w14:paraId="1F844676">
      <w:pPr>
        <w:pStyle w:val="11"/>
        <w:shd w:val="clear" w:color="auto" w:fill="FFFFFF"/>
        <w:ind w:firstLine="480"/>
        <w:rPr>
          <w:color w:val="333333"/>
          <w:lang w:val="en"/>
        </w:rPr>
      </w:pPr>
      <w:r>
        <w:rPr>
          <w:rFonts w:hint="eastAsia"/>
          <w:color w:val="333333"/>
          <w:lang w:val="en"/>
        </w:rPr>
        <w:t>综合信用评价得分=供应商的广州市政府采购中心政府采购供应商信用评价分×5%</w:t>
      </w:r>
    </w:p>
    <w:p w14:paraId="10A14F23">
      <w:pPr>
        <w:pStyle w:val="11"/>
        <w:shd w:val="clear" w:color="auto" w:fill="FFFFFF"/>
        <w:ind w:firstLine="480"/>
        <w:rPr>
          <w:color w:val="333333"/>
          <w:lang w:val="en"/>
        </w:rPr>
      </w:pPr>
      <w:r>
        <w:rPr>
          <w:rFonts w:hint="eastAsia"/>
          <w:color w:val="333333"/>
          <w:lang w:val="en"/>
        </w:rPr>
        <w:t>说明：（1）《广州公共资源交易政府采购领域信用评价体系2.0指标说明》详见本项目采购公告附件。</w:t>
      </w:r>
    </w:p>
    <w:p w14:paraId="5C0751FC">
      <w:pPr>
        <w:pStyle w:val="11"/>
        <w:shd w:val="clear" w:color="auto" w:fill="FFFFFF"/>
        <w:ind w:firstLine="480"/>
        <w:rPr>
          <w:color w:val="333333"/>
          <w:lang w:val="en"/>
        </w:rPr>
      </w:pPr>
      <w:r>
        <w:rPr>
          <w:rFonts w:hint="eastAsia"/>
          <w:color w:val="333333"/>
          <w:lang w:val="en"/>
        </w:rPr>
        <w:t>（2）供应商的信用评价分以开标当天采购中心网站公布的分值为准（供应商可通过“广州公共资源交易网-信用信息-广州公共资源交易信用平台2.0”进行访问）。</w:t>
      </w:r>
    </w:p>
    <w:p w14:paraId="3C04472D">
      <w:pPr>
        <w:shd w:val="clear" w:color="auto" w:fill="FFFFFF"/>
        <w:ind w:firstLine="480"/>
        <w:rPr>
          <w:color w:val="333333"/>
          <w:lang w:val="en"/>
        </w:rPr>
      </w:pPr>
    </w:p>
    <w:p w14:paraId="29538A23">
      <w:pPr>
        <w:pStyle w:val="11"/>
        <w:shd w:val="clear" w:color="auto" w:fill="FFFFFF"/>
        <w:ind w:firstLine="480"/>
        <w:rPr>
          <w:color w:val="333333"/>
          <w:lang w:val="en"/>
        </w:rPr>
      </w:pPr>
      <w:r>
        <w:rPr>
          <w:rFonts w:hint="eastAsia"/>
          <w:color w:val="333333"/>
          <w:lang w:val="en"/>
        </w:rPr>
        <w:t>6.综合评分的计算</w:t>
      </w:r>
    </w:p>
    <w:p w14:paraId="20F19504">
      <w:pPr>
        <w:pStyle w:val="11"/>
        <w:shd w:val="clear" w:color="auto" w:fill="FFFFFF"/>
        <w:ind w:firstLine="480"/>
        <w:rPr>
          <w:color w:val="333333"/>
          <w:lang w:val="en"/>
        </w:rPr>
      </w:pPr>
      <w:r>
        <w:rPr>
          <w:rFonts w:hint="eastAsia"/>
          <w:color w:val="333333"/>
          <w:lang w:val="en"/>
        </w:rPr>
        <w:t>（1）综合评分=技术评分+商务评分+综合信用评价评分+价格评分</w:t>
      </w:r>
    </w:p>
    <w:p w14:paraId="74515FAD">
      <w:pPr>
        <w:pStyle w:val="11"/>
        <w:shd w:val="clear" w:color="auto" w:fill="FFFFFF"/>
        <w:ind w:firstLine="480"/>
        <w:rPr>
          <w:color w:val="333333"/>
          <w:lang w:val="en"/>
        </w:rPr>
      </w:pPr>
      <w:r>
        <w:rPr>
          <w:rFonts w:hint="eastAsia"/>
          <w:color w:val="333333"/>
          <w:lang w:val="en"/>
        </w:rPr>
        <w:t>（2）各项得分按四舍五入原则精确到小数点后两位。</w:t>
      </w:r>
    </w:p>
    <w:p w14:paraId="32E15688">
      <w:pPr>
        <w:shd w:val="clear" w:color="auto" w:fill="FFFFFF"/>
        <w:spacing w:after="100"/>
        <w:ind w:firstLine="480"/>
        <w:rPr>
          <w:color w:val="333333"/>
          <w:lang w:val="en"/>
        </w:rPr>
      </w:pPr>
      <w:r>
        <w:rPr>
          <w:rFonts w:hint="eastAsia"/>
          <w:color w:val="333333"/>
          <w:lang w:val="en"/>
        </w:rPr>
        <w:br w:type="textWrapping"/>
      </w:r>
    </w:p>
    <w:p w14:paraId="606A2296">
      <w:pPr>
        <w:widowControl/>
        <w:jc w:val="left"/>
        <w:rPr>
          <w:kern w:val="0"/>
        </w:rPr>
        <w:sectPr>
          <w:pgSz w:w="11906" w:h="16838"/>
          <w:pgMar w:top="1440" w:right="1800" w:bottom="1440" w:left="1800" w:header="851" w:footer="992" w:gutter="0"/>
          <w:cols w:space="720" w:num="1"/>
          <w:docGrid w:type="lines" w:linePitch="312" w:charSpace="0"/>
        </w:sectPr>
      </w:pPr>
    </w:p>
    <w:p w14:paraId="324ABDB9">
      <w:pPr>
        <w:pStyle w:val="11"/>
        <w:shd w:val="clear" w:color="auto" w:fill="FFFFFF"/>
        <w:ind w:firstLine="480" w:firstLineChars="200"/>
        <w:rPr>
          <w:color w:val="333333"/>
        </w:rPr>
      </w:pPr>
      <w:bookmarkStart w:id="21" w:name="_Toc199736011"/>
      <w:bookmarkStart w:id="22" w:name="_Toc401232233"/>
      <w:bookmarkStart w:id="23" w:name="_Toc199815439"/>
      <w:bookmarkStart w:id="24" w:name="_Toc199736957"/>
      <w:bookmarkStart w:id="25" w:name="_Toc176844892"/>
      <w:bookmarkStart w:id="26" w:name="_Toc395083526"/>
      <w:bookmarkStart w:id="27" w:name="_Toc199735927"/>
      <w:r>
        <w:rPr>
          <w:rFonts w:hint="eastAsia"/>
          <w:color w:val="333333"/>
        </w:rPr>
        <w:t>(十五）成交供应商推荐</w:t>
      </w:r>
    </w:p>
    <w:p w14:paraId="357E9FB8">
      <w:pPr>
        <w:pStyle w:val="11"/>
        <w:shd w:val="clear" w:color="auto" w:fill="FFFFFF"/>
        <w:ind w:firstLine="480" w:firstLineChars="200"/>
        <w:rPr>
          <w:color w:val="333333"/>
        </w:rPr>
      </w:pPr>
      <w:r>
        <w:rPr>
          <w:rFonts w:hint="eastAsia"/>
          <w:color w:val="333333"/>
        </w:rPr>
        <w:t>磋商小组应当根据综合评分情况，按照评审得分由高到低顺序推荐3名成交候选供应商。评审得分相同的，按照最后报价价格评分由高到低的顺序推荐。评审得分且最后报价相同的，按照技术指标优劣顺序推荐。第二成交候选供应商最后报价高于第一成交候选供应商最后报价20％（含）以上的，只推荐1名成交候选供应商。第三成交候选供应商最后报价高于第二成交候选供应商最后报价20％（含）以上的，只推荐2名成交候选供应商。</w:t>
      </w:r>
    </w:p>
    <w:p w14:paraId="30449A37">
      <w:pPr>
        <w:pStyle w:val="11"/>
        <w:shd w:val="clear" w:color="auto" w:fill="FFFFFF"/>
        <w:ind w:firstLine="480" w:firstLineChars="200"/>
        <w:rPr>
          <w:color w:val="333333"/>
        </w:rPr>
      </w:pPr>
    </w:p>
    <w:p w14:paraId="176A352A">
      <w:pPr>
        <w:pStyle w:val="10"/>
        <w:spacing w:before="0" w:after="0" w:line="360" w:lineRule="auto"/>
        <w:ind w:firstLine="482" w:firstLineChars="200"/>
        <w:jc w:val="both"/>
        <w:rPr>
          <w:rFonts w:ascii="宋体" w:hAnsi="宋体" w:eastAsia="宋体"/>
          <w:sz w:val="24"/>
          <w:szCs w:val="24"/>
        </w:rPr>
      </w:pPr>
      <w:r>
        <w:rPr>
          <w:rFonts w:hint="eastAsia" w:ascii="宋体" w:hAnsi="宋体" w:eastAsia="宋体"/>
          <w:sz w:val="24"/>
          <w:szCs w:val="24"/>
        </w:rPr>
        <w:t>四、项目采购失败处理</w:t>
      </w:r>
      <w:bookmarkEnd w:id="21"/>
      <w:bookmarkEnd w:id="22"/>
      <w:bookmarkEnd w:id="23"/>
      <w:bookmarkEnd w:id="24"/>
      <w:bookmarkEnd w:id="25"/>
      <w:bookmarkEnd w:id="26"/>
      <w:bookmarkEnd w:id="27"/>
    </w:p>
    <w:p w14:paraId="1FC37B37">
      <w:pPr>
        <w:spacing w:line="360" w:lineRule="auto"/>
        <w:ind w:firstLine="420" w:firstLineChars="200"/>
        <w:rPr>
          <w:rFonts w:ascii="宋体" w:hAnsi="宋体"/>
          <w:szCs w:val="24"/>
        </w:rPr>
      </w:pPr>
      <w:r>
        <w:rPr>
          <w:rFonts w:hint="eastAsia" w:ascii="宋体" w:hAnsi="宋体"/>
          <w:szCs w:val="24"/>
        </w:rPr>
        <w:t>出现下列情况将作采购失败处理：</w:t>
      </w:r>
    </w:p>
    <w:p w14:paraId="11326B45">
      <w:pPr>
        <w:spacing w:line="360" w:lineRule="auto"/>
        <w:ind w:firstLine="420" w:firstLineChars="200"/>
        <w:rPr>
          <w:rFonts w:ascii="宋体" w:hAnsi="宋体"/>
          <w:szCs w:val="24"/>
        </w:rPr>
      </w:pPr>
      <w:r>
        <w:rPr>
          <w:rFonts w:hint="eastAsia" w:ascii="宋体" w:hAnsi="宋体"/>
          <w:szCs w:val="24"/>
        </w:rPr>
        <w:t>（一）因情况变化，不再符合规定的竞争性磋商采购方式适用情形的。</w:t>
      </w:r>
    </w:p>
    <w:p w14:paraId="0B8474C9">
      <w:pPr>
        <w:spacing w:line="360" w:lineRule="auto"/>
        <w:ind w:firstLine="420" w:firstLineChars="200"/>
        <w:rPr>
          <w:rFonts w:ascii="宋体" w:hAnsi="宋体"/>
          <w:szCs w:val="24"/>
        </w:rPr>
      </w:pPr>
      <w:r>
        <w:rPr>
          <w:rFonts w:hint="eastAsia" w:ascii="宋体" w:hAnsi="宋体"/>
          <w:szCs w:val="24"/>
        </w:rPr>
        <w:t>（二）出现影响采购公正的违法、违规行为的。</w:t>
      </w:r>
    </w:p>
    <w:p w14:paraId="7BE52E1C">
      <w:pPr>
        <w:spacing w:line="360" w:lineRule="auto"/>
        <w:ind w:firstLine="420" w:firstLineChars="200"/>
        <w:rPr>
          <w:rFonts w:ascii="宋体" w:hAnsi="宋体"/>
          <w:szCs w:val="24"/>
        </w:rPr>
      </w:pPr>
      <w:r>
        <w:rPr>
          <w:rFonts w:hint="eastAsia" w:ascii="宋体" w:hAnsi="宋体"/>
          <w:szCs w:val="24"/>
        </w:rPr>
        <w:t>（三）除法律法规规定的情形外，在采购过程中符合要求的供应商或者报价未超过采购预算的供应商不足3家的。</w:t>
      </w:r>
    </w:p>
    <w:p w14:paraId="1978C72A">
      <w:pPr>
        <w:spacing w:line="360" w:lineRule="auto"/>
        <w:ind w:firstLine="420" w:firstLineChars="200"/>
        <w:rPr>
          <w:rFonts w:ascii="宋体" w:hAnsi="宋体"/>
          <w:szCs w:val="24"/>
        </w:rPr>
      </w:pPr>
      <w:r>
        <w:rPr>
          <w:rFonts w:hint="eastAsia" w:ascii="宋体" w:hAnsi="宋体"/>
          <w:szCs w:val="24"/>
        </w:rPr>
        <w:t>（四）因重大变故，采购任务取消的。</w:t>
      </w:r>
    </w:p>
    <w:p w14:paraId="4F8C1F93">
      <w:pPr>
        <w:spacing w:line="360" w:lineRule="auto"/>
        <w:ind w:firstLine="420" w:firstLineChars="200"/>
        <w:rPr>
          <w:rFonts w:ascii="宋体" w:hAnsi="宋体" w:cs="宋体"/>
          <w:szCs w:val="24"/>
        </w:rPr>
      </w:pPr>
      <w:r>
        <w:rPr>
          <w:rFonts w:hint="eastAsia" w:ascii="宋体" w:hAnsi="宋体" w:cs="宋体"/>
          <w:szCs w:val="24"/>
        </w:rPr>
        <w:t>对经评审失败的采购项目，磋商小组应出具采购文件是否存在不合理条款的论证意见。</w:t>
      </w:r>
    </w:p>
    <w:p w14:paraId="07F1F91C">
      <w:pPr>
        <w:spacing w:line="360" w:lineRule="auto"/>
        <w:ind w:firstLine="420" w:firstLineChars="200"/>
        <w:rPr>
          <w:rFonts w:ascii="宋体" w:hAnsi="宋体"/>
          <w:szCs w:val="24"/>
        </w:rPr>
      </w:pPr>
    </w:p>
    <w:p w14:paraId="75DB6F18">
      <w:pPr>
        <w:spacing w:line="360" w:lineRule="auto"/>
        <w:ind w:firstLine="420" w:firstLineChars="200"/>
      </w:pPr>
    </w:p>
    <w:p w14:paraId="38D1C88E">
      <w:pPr>
        <w:widowControl/>
        <w:jc w:val="left"/>
        <w:rPr>
          <w:kern w:val="0"/>
        </w:rPr>
        <w:sectPr>
          <w:pgSz w:w="11906" w:h="16838"/>
          <w:pgMar w:top="1440" w:right="1800" w:bottom="1440" w:left="1800" w:header="851" w:footer="992" w:gutter="0"/>
          <w:cols w:space="720" w:num="1"/>
          <w:docGrid w:type="lines" w:linePitch="312" w:charSpace="0"/>
        </w:sectPr>
      </w:pPr>
    </w:p>
    <w:p w14:paraId="0D3F3162">
      <w:pPr>
        <w:pStyle w:val="10"/>
        <w:spacing w:before="0" w:after="0" w:line="360" w:lineRule="auto"/>
        <w:ind w:firstLine="482" w:firstLineChars="200"/>
        <w:jc w:val="both"/>
        <w:rPr>
          <w:rFonts w:ascii="宋体" w:hAnsi="宋体" w:eastAsia="宋体"/>
          <w:sz w:val="24"/>
          <w:szCs w:val="24"/>
          <w:lang w:val="zh-CN"/>
        </w:rPr>
      </w:pPr>
      <w:bookmarkStart w:id="28" w:name="_Toc199735928"/>
      <w:bookmarkStart w:id="29" w:name="_Toc176844894"/>
      <w:bookmarkStart w:id="30" w:name="_Toc199736958"/>
      <w:bookmarkStart w:id="31" w:name="_Toc395083527"/>
      <w:bookmarkStart w:id="32" w:name="_Toc199815440"/>
      <w:bookmarkStart w:id="33" w:name="_Toc401232234"/>
      <w:bookmarkStart w:id="34" w:name="_Toc199736012"/>
      <w:r>
        <w:rPr>
          <w:rFonts w:hint="eastAsia" w:ascii="宋体" w:hAnsi="宋体" w:eastAsia="宋体"/>
          <w:sz w:val="24"/>
          <w:szCs w:val="24"/>
          <w:lang w:val="zh-CN"/>
        </w:rPr>
        <w:t>五、确定结果</w:t>
      </w:r>
      <w:bookmarkEnd w:id="28"/>
      <w:bookmarkEnd w:id="29"/>
      <w:bookmarkEnd w:id="30"/>
      <w:bookmarkEnd w:id="31"/>
      <w:bookmarkEnd w:id="32"/>
      <w:bookmarkEnd w:id="33"/>
      <w:bookmarkEnd w:id="34"/>
    </w:p>
    <w:p w14:paraId="66E9707C">
      <w:pPr>
        <w:widowControl/>
        <w:spacing w:line="360" w:lineRule="auto"/>
        <w:ind w:firstLine="495" w:firstLineChars="236"/>
        <w:rPr>
          <w:rFonts w:ascii="宋体" w:hAnsi="宋体" w:cs="宋体"/>
          <w:kern w:val="0"/>
          <w:szCs w:val="24"/>
        </w:rPr>
      </w:pPr>
      <w:r>
        <w:rPr>
          <w:rFonts w:hint="eastAsia" w:ascii="宋体" w:hAnsi="宋体" w:cs="宋体"/>
          <w:kern w:val="0"/>
          <w:szCs w:val="24"/>
        </w:rPr>
        <w:t>（一）采购中心应当在评审结束后2个工作日内将评审报告及《确认采购结果通知书》送采购人确认。</w:t>
      </w:r>
    </w:p>
    <w:p w14:paraId="0B0DDB70">
      <w:pPr>
        <w:widowControl/>
        <w:spacing w:line="360" w:lineRule="auto"/>
        <w:ind w:firstLine="495" w:firstLineChars="236"/>
        <w:rPr>
          <w:rFonts w:ascii="宋体" w:hAnsi="宋体" w:cs="宋体"/>
          <w:kern w:val="0"/>
          <w:szCs w:val="24"/>
        </w:rPr>
      </w:pPr>
      <w:r>
        <w:rPr>
          <w:rFonts w:hint="eastAsia" w:ascii="宋体" w:hAnsi="宋体" w:cs="宋体"/>
          <w:kern w:val="0"/>
          <w:szCs w:val="24"/>
        </w:rPr>
        <w:t>（二）采购人应当在收到评审报告后5个工作日内，从评审报告提出的成交候选供应商中，按照排序由高到低的原则确定成交供应商。采购结果确认后，采购中心将成交结果在采购信息发布网站上进行公告。不在成交名单之列者即为未成交供应商，采购中心不再以其它方式另行通知。</w:t>
      </w:r>
    </w:p>
    <w:p w14:paraId="7B357AAF">
      <w:pPr>
        <w:widowControl/>
        <w:spacing w:line="360" w:lineRule="auto"/>
        <w:ind w:firstLine="495" w:firstLineChars="236"/>
        <w:rPr>
          <w:rFonts w:ascii="宋体" w:hAnsi="宋体" w:cs="宋体"/>
          <w:kern w:val="0"/>
          <w:szCs w:val="24"/>
        </w:rPr>
      </w:pPr>
      <w:r>
        <w:rPr>
          <w:rFonts w:hint="eastAsia" w:ascii="宋体" w:hAnsi="宋体" w:cs="宋体"/>
          <w:kern w:val="0"/>
          <w:szCs w:val="24"/>
        </w:rPr>
        <w:t>（三）采购人授权磋商小组确认成交供应商的，磋商小组按评审报告确定的成交候选供应商名单中按顺序确定成交供应商。采购中心应当在评审结束后2个工作日内将评审报告送采购人</w:t>
      </w:r>
    </w:p>
    <w:p w14:paraId="7CF609F5">
      <w:pPr>
        <w:widowControl/>
        <w:spacing w:line="360" w:lineRule="auto"/>
        <w:ind w:firstLine="495" w:firstLineChars="236"/>
        <w:rPr>
          <w:rFonts w:ascii="宋体" w:hAnsi="宋体" w:cs="宋体"/>
          <w:kern w:val="0"/>
          <w:szCs w:val="24"/>
        </w:rPr>
      </w:pPr>
      <w:bookmarkStart w:id="35" w:name="_Toc134956124"/>
      <w:bookmarkStart w:id="36" w:name="_Toc175644815"/>
      <w:bookmarkStart w:id="37" w:name="_Toc38427994"/>
      <w:r>
        <w:rPr>
          <w:rFonts w:hint="eastAsia" w:ascii="宋体" w:hAnsi="宋体" w:cs="宋体"/>
          <w:kern w:val="0"/>
          <w:szCs w:val="24"/>
        </w:rPr>
        <w:t>（四）成交结果公告后，采购人或成交供应商须按招标文件第一章报价须知的约定向采购中心支付公共资源交易服务费。采购中心完成支付确认后，采购人、成交供应商方可下载打印成交通知书。具体打印方式请查阅“广州公共资源交易网”中“通知公告”栏。《成交通知书》将作为授予合同资格的唯一合法依据。</w:t>
      </w:r>
      <w:bookmarkEnd w:id="35"/>
      <w:bookmarkEnd w:id="36"/>
      <w:bookmarkEnd w:id="37"/>
    </w:p>
    <w:p w14:paraId="1B89B303"/>
    <w:p w14:paraId="1E88F298">
      <w:pPr>
        <w:widowControl/>
        <w:jc w:val="left"/>
        <w:rPr>
          <w:kern w:val="0"/>
        </w:rPr>
        <w:sectPr>
          <w:pgSz w:w="11906" w:h="16838"/>
          <w:pgMar w:top="1440" w:right="1800" w:bottom="1440" w:left="1800" w:header="851" w:footer="992" w:gutter="0"/>
          <w:cols w:space="720" w:num="1"/>
          <w:docGrid w:type="lines" w:linePitch="312" w:charSpace="0"/>
        </w:sectPr>
      </w:pPr>
    </w:p>
    <w:p w14:paraId="2B1AC0B1">
      <w:pPr>
        <w:pStyle w:val="10"/>
        <w:spacing w:before="0" w:after="0" w:line="360" w:lineRule="auto"/>
        <w:ind w:firstLine="482" w:firstLineChars="200"/>
        <w:jc w:val="both"/>
        <w:rPr>
          <w:rFonts w:ascii="宋体" w:hAnsi="宋体" w:eastAsia="宋体"/>
          <w:sz w:val="24"/>
          <w:szCs w:val="24"/>
          <w:lang w:val="zh-CN"/>
        </w:rPr>
      </w:pPr>
      <w:bookmarkStart w:id="38" w:name="_Toc199817899"/>
      <w:bookmarkStart w:id="39" w:name="_Toc199817949"/>
      <w:bookmarkStart w:id="40" w:name="_Toc199817982"/>
      <w:bookmarkStart w:id="41" w:name="_Toc401232236"/>
      <w:bookmarkStart w:id="42" w:name="_Toc395083529"/>
      <w:bookmarkStart w:id="43" w:name="_Toc176852371"/>
      <w:r>
        <w:rPr>
          <w:rFonts w:hint="eastAsia" w:ascii="宋体" w:hAnsi="宋体" w:eastAsia="宋体"/>
          <w:sz w:val="24"/>
          <w:szCs w:val="24"/>
          <w:lang w:val="zh-CN"/>
        </w:rPr>
        <w:t>六、签约和备案</w:t>
      </w:r>
      <w:bookmarkEnd w:id="38"/>
      <w:bookmarkEnd w:id="39"/>
      <w:bookmarkEnd w:id="40"/>
      <w:bookmarkEnd w:id="41"/>
      <w:bookmarkEnd w:id="42"/>
      <w:bookmarkEnd w:id="43"/>
    </w:p>
    <w:p w14:paraId="5196CD2C">
      <w:pPr>
        <w:widowControl/>
        <w:spacing w:line="360" w:lineRule="auto"/>
        <w:ind w:firstLine="495" w:firstLineChars="236"/>
        <w:rPr>
          <w:rFonts w:ascii="宋体" w:hAnsi="宋体" w:cs="宋体"/>
          <w:kern w:val="0"/>
          <w:szCs w:val="24"/>
        </w:rPr>
      </w:pPr>
      <w:r>
        <w:rPr>
          <w:rFonts w:hint="eastAsia" w:ascii="宋体" w:hAnsi="宋体" w:cs="宋体"/>
          <w:kern w:val="0"/>
          <w:szCs w:val="24"/>
        </w:rPr>
        <w:t>采购人与成交</w:t>
      </w:r>
      <w:r>
        <w:rPr>
          <w:rFonts w:hint="eastAsia" w:ascii="宋体" w:hAnsi="宋体"/>
        </w:rPr>
        <w:t>供应商</w:t>
      </w:r>
      <w:r>
        <w:rPr>
          <w:rFonts w:hint="eastAsia" w:ascii="宋体" w:hAnsi="宋体" w:cs="宋体"/>
          <w:kern w:val="0"/>
          <w:szCs w:val="24"/>
        </w:rPr>
        <w:t>应当在《成交通知书》发出之日起二十日内</w:t>
      </w:r>
      <w:r>
        <w:rPr>
          <w:rFonts w:hint="eastAsia" w:ascii="宋体" w:hAnsi="宋体"/>
          <w:szCs w:val="24"/>
        </w:rPr>
        <w:t>（如第二章采购需求有相应约定的从其约定）</w:t>
      </w:r>
      <w:r>
        <w:rPr>
          <w:rFonts w:hint="eastAsia" w:ascii="宋体" w:hAnsi="宋体" w:cs="宋体"/>
          <w:kern w:val="0"/>
          <w:szCs w:val="24"/>
        </w:rPr>
        <w:t>，按照磋商文件确定的合同文本以及采购标的、规格型号、采购金额、采购数量、技术和服务要求等事项签订政府采购合同。采购人不得提出试用合格等任何不合理的要求作为签订合同的条件。超过30天尚未完成政府采购合同签订的政府采购项目，采购人应当登录广东省政府采购网，填报未能依法签订政府采购合同的具体原因、整改措施和预计签订合同时间等信息。</w:t>
      </w:r>
    </w:p>
    <w:p w14:paraId="1ABBDA1D">
      <w:pPr>
        <w:widowControl/>
        <w:spacing w:line="360" w:lineRule="auto"/>
        <w:ind w:firstLine="495" w:firstLineChars="236"/>
        <w:rPr>
          <w:rFonts w:ascii="宋体" w:hAnsi="宋体" w:cs="宋体"/>
          <w:kern w:val="0"/>
          <w:szCs w:val="24"/>
        </w:rPr>
      </w:pPr>
      <w:r>
        <w:rPr>
          <w:rFonts w:hint="eastAsia" w:ascii="宋体" w:hAnsi="宋体" w:cs="宋体"/>
          <w:kern w:val="0"/>
          <w:szCs w:val="24"/>
        </w:rPr>
        <w:t>采购人应当自政府采购合同签订之日起2个工作日内，将政府采购合同在省级以上人民政府财政部门指定的媒体上公告，但政府采购合同中涉及国家秘密、商业秘密的内容除外。</w:t>
      </w:r>
    </w:p>
    <w:p w14:paraId="4540B39F">
      <w:pPr>
        <w:widowControl/>
        <w:spacing w:line="360" w:lineRule="auto"/>
        <w:ind w:firstLine="495" w:firstLineChars="236"/>
        <w:rPr>
          <w:rFonts w:ascii="宋体" w:hAnsi="宋体" w:cs="宋体"/>
          <w:kern w:val="0"/>
          <w:szCs w:val="24"/>
        </w:rPr>
      </w:pPr>
    </w:p>
    <w:p w14:paraId="4FC9E766">
      <w:pPr>
        <w:pStyle w:val="6"/>
        <w:spacing w:line="360" w:lineRule="auto"/>
        <w:ind w:firstLine="420" w:firstLineChars="200"/>
        <w:rPr>
          <w:rFonts w:hAnsi="宋体" w:cs="仿宋_GB2312"/>
          <w:lang w:val="zh-CN"/>
        </w:rPr>
      </w:pPr>
    </w:p>
    <w:p w14:paraId="080F7D03"/>
    <w:p w14:paraId="62277243">
      <w:pPr>
        <w:sectPr>
          <w:pgSz w:w="11906" w:h="16838"/>
          <w:pgMar w:top="1440" w:right="1800" w:bottom="1440" w:left="1800" w:header="851" w:footer="992" w:gutter="0"/>
          <w:cols w:space="720" w:num="1"/>
          <w:docGrid w:type="lines" w:linePitch="312" w:charSpace="0"/>
        </w:sectPr>
      </w:pPr>
    </w:p>
    <w:p w14:paraId="0F5BDF37">
      <w:pPr>
        <w:pStyle w:val="35"/>
        <w:shd w:val="clear" w:color="auto" w:fill="FFFFFF"/>
        <w:rPr>
          <w:color w:val="333333"/>
          <w:lang w:val="en"/>
        </w:rPr>
      </w:pPr>
      <w:r>
        <w:rPr>
          <w:rStyle w:val="16"/>
          <w:rFonts w:hint="eastAsia"/>
          <w:lang w:val="en"/>
        </w:rPr>
        <w:t>第五章 响应文件格式</w:t>
      </w:r>
      <w:r>
        <w:rPr>
          <w:rFonts w:hint="eastAsia"/>
          <w:color w:val="333333"/>
          <w:lang w:val="en"/>
        </w:rPr>
        <w:t xml:space="preserve"> </w:t>
      </w:r>
    </w:p>
    <w:p w14:paraId="6C2624C9">
      <w:pPr>
        <w:pStyle w:val="35"/>
        <w:shd w:val="clear" w:color="auto" w:fill="FFFFFF"/>
        <w:spacing w:after="300" w:afterAutospacing="0"/>
        <w:rPr>
          <w:color w:val="333333"/>
          <w:lang w:val="en"/>
        </w:rPr>
      </w:pPr>
      <w:r>
        <w:rPr>
          <w:rStyle w:val="16"/>
          <w:rFonts w:hint="eastAsia"/>
          <w:lang w:val="en"/>
        </w:rPr>
        <w:t>响应文件格式目录</w:t>
      </w:r>
      <w:r>
        <w:rPr>
          <w:rFonts w:hint="eastAsia"/>
          <w:color w:val="333333"/>
          <w:lang w:val="en"/>
        </w:rPr>
        <w:t xml:space="preserve"> </w:t>
      </w:r>
    </w:p>
    <w:p w14:paraId="2C5747F5">
      <w:pPr>
        <w:pStyle w:val="11"/>
        <w:shd w:val="clear" w:color="auto" w:fill="FFFFFF"/>
        <w:ind w:firstLine="480"/>
        <w:rPr>
          <w:color w:val="333333"/>
          <w:lang w:val="en"/>
        </w:rPr>
      </w:pPr>
      <w:r>
        <w:rPr>
          <w:rFonts w:hint="eastAsia"/>
          <w:color w:val="333333"/>
          <w:lang w:val="en"/>
        </w:rPr>
        <w:t xml:space="preserve">响应文件包括但不限于以下组成内容，请按顺序制作，本章有提供格式文件的请按格式要求提交。（签章要求：完成响应文件的制作后，应加盖电子签章。） </w:t>
      </w:r>
    </w:p>
    <w:tbl>
      <w:tblPr>
        <w:tblStyle w:val="13"/>
        <w:tblW w:w="5000"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1167"/>
        <w:gridCol w:w="5668"/>
        <w:gridCol w:w="1501"/>
      </w:tblGrid>
      <w:tr w14:paraId="540713C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700" w:type="pct"/>
            <w:tcBorders>
              <w:top w:val="outset" w:color="auto" w:sz="6" w:space="0"/>
              <w:left w:val="outset" w:color="auto" w:sz="6" w:space="0"/>
              <w:bottom w:val="outset" w:color="auto" w:sz="6" w:space="0"/>
              <w:right w:val="outset" w:color="auto" w:sz="6" w:space="0"/>
            </w:tcBorders>
            <w:vAlign w:val="center"/>
          </w:tcPr>
          <w:p w14:paraId="7A43032C">
            <w:pPr>
              <w:pStyle w:val="11"/>
              <w:wordWrap w:val="0"/>
              <w:jc w:val="center"/>
              <w:rPr>
                <w:b/>
                <w:bCs/>
              </w:rPr>
            </w:pPr>
            <w:r>
              <w:rPr>
                <w:rFonts w:hint="eastAsia"/>
                <w:b/>
                <w:bCs/>
              </w:rPr>
              <w:t>序号</w:t>
            </w:r>
          </w:p>
        </w:tc>
        <w:tc>
          <w:tcPr>
            <w:tcW w:w="3400" w:type="pct"/>
            <w:tcBorders>
              <w:top w:val="outset" w:color="auto" w:sz="6" w:space="0"/>
              <w:left w:val="outset" w:color="auto" w:sz="6" w:space="0"/>
              <w:bottom w:val="outset" w:color="auto" w:sz="6" w:space="0"/>
              <w:right w:val="outset" w:color="auto" w:sz="6" w:space="0"/>
            </w:tcBorders>
            <w:vAlign w:val="center"/>
          </w:tcPr>
          <w:p w14:paraId="0CEFB6C3">
            <w:pPr>
              <w:pStyle w:val="11"/>
              <w:wordWrap w:val="0"/>
              <w:jc w:val="center"/>
              <w:rPr>
                <w:b/>
                <w:bCs/>
              </w:rPr>
            </w:pPr>
            <w:r>
              <w:rPr>
                <w:rFonts w:hint="eastAsia"/>
                <w:b/>
                <w:bCs/>
              </w:rPr>
              <w:t>内容</w:t>
            </w:r>
          </w:p>
        </w:tc>
        <w:tc>
          <w:tcPr>
            <w:tcW w:w="1200" w:type="pct"/>
            <w:tcBorders>
              <w:top w:val="outset" w:color="auto" w:sz="6" w:space="0"/>
              <w:left w:val="outset" w:color="auto" w:sz="6" w:space="0"/>
              <w:bottom w:val="outset" w:color="auto" w:sz="6" w:space="0"/>
              <w:right w:val="outset" w:color="auto" w:sz="6" w:space="0"/>
            </w:tcBorders>
            <w:vAlign w:val="center"/>
          </w:tcPr>
          <w:p w14:paraId="5F6AB14B">
            <w:pPr>
              <w:pStyle w:val="11"/>
              <w:wordWrap w:val="0"/>
              <w:jc w:val="center"/>
              <w:rPr>
                <w:b/>
                <w:bCs/>
              </w:rPr>
            </w:pPr>
            <w:r>
              <w:rPr>
                <w:rFonts w:hint="eastAsia"/>
                <w:b/>
                <w:bCs/>
              </w:rPr>
              <w:t>签章要求</w:t>
            </w:r>
          </w:p>
        </w:tc>
      </w:tr>
      <w:tr w14:paraId="2CE7574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0" w:type="auto"/>
            <w:gridSpan w:val="3"/>
            <w:tcBorders>
              <w:top w:val="outset" w:color="auto" w:sz="6" w:space="0"/>
              <w:left w:val="outset" w:color="auto" w:sz="6" w:space="0"/>
              <w:bottom w:val="outset" w:color="auto" w:sz="6" w:space="0"/>
              <w:right w:val="outset" w:color="auto" w:sz="6" w:space="0"/>
            </w:tcBorders>
            <w:vAlign w:val="center"/>
          </w:tcPr>
          <w:p w14:paraId="1E965D19">
            <w:pPr>
              <w:pStyle w:val="11"/>
              <w:wordWrap w:val="0"/>
              <w:jc w:val="center"/>
            </w:pPr>
            <w:r>
              <w:rPr>
                <w:rFonts w:hint="eastAsia"/>
              </w:rPr>
              <w:t>商务文件</w:t>
            </w:r>
          </w:p>
        </w:tc>
      </w:tr>
      <w:tr w14:paraId="57933D6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vAlign w:val="center"/>
          </w:tcPr>
          <w:p w14:paraId="2EF3398A">
            <w:pPr>
              <w:pStyle w:val="11"/>
              <w:wordWrap w:val="0"/>
              <w:jc w:val="center"/>
            </w:pPr>
            <w:r>
              <w:rPr>
                <w:rFonts w:hint="eastAsia"/>
              </w:rPr>
              <w:t>1</w:t>
            </w:r>
          </w:p>
        </w:tc>
        <w:tc>
          <w:tcPr>
            <w:tcW w:w="0" w:type="auto"/>
            <w:tcBorders>
              <w:top w:val="outset" w:color="auto" w:sz="6" w:space="0"/>
              <w:left w:val="outset" w:color="auto" w:sz="6" w:space="0"/>
              <w:bottom w:val="outset" w:color="auto" w:sz="6" w:space="0"/>
              <w:right w:val="outset" w:color="auto" w:sz="6" w:space="0"/>
            </w:tcBorders>
            <w:vAlign w:val="center"/>
          </w:tcPr>
          <w:p w14:paraId="4B2A5A8D">
            <w:pPr>
              <w:pStyle w:val="11"/>
              <w:wordWrap w:val="0"/>
            </w:pPr>
            <w:r>
              <w:rPr>
                <w:rFonts w:hint="eastAsia"/>
              </w:rPr>
              <w:t>★报价承诺函</w:t>
            </w:r>
          </w:p>
        </w:tc>
        <w:tc>
          <w:tcPr>
            <w:tcW w:w="0" w:type="auto"/>
            <w:tcBorders>
              <w:top w:val="outset" w:color="auto" w:sz="6" w:space="0"/>
              <w:left w:val="outset" w:color="auto" w:sz="6" w:space="0"/>
              <w:bottom w:val="outset" w:color="auto" w:sz="6" w:space="0"/>
              <w:right w:val="outset" w:color="auto" w:sz="6" w:space="0"/>
            </w:tcBorders>
            <w:vAlign w:val="center"/>
          </w:tcPr>
          <w:p w14:paraId="5104BFD6">
            <w:pPr>
              <w:pStyle w:val="11"/>
              <w:wordWrap w:val="0"/>
              <w:jc w:val="center"/>
            </w:pPr>
            <w:r>
              <w:rPr>
                <w:rFonts w:hint="eastAsia"/>
              </w:rPr>
              <w:t>电子签章</w:t>
            </w:r>
          </w:p>
        </w:tc>
      </w:tr>
      <w:tr w14:paraId="1812C56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vAlign w:val="center"/>
          </w:tcPr>
          <w:p w14:paraId="7119FC4A">
            <w:pPr>
              <w:pStyle w:val="11"/>
              <w:wordWrap w:val="0"/>
              <w:jc w:val="center"/>
            </w:pPr>
            <w:r>
              <w:rPr>
                <w:rFonts w:hint="eastAsia"/>
              </w:rPr>
              <w:t>2</w:t>
            </w:r>
          </w:p>
        </w:tc>
        <w:tc>
          <w:tcPr>
            <w:tcW w:w="0" w:type="auto"/>
            <w:tcBorders>
              <w:top w:val="outset" w:color="auto" w:sz="6" w:space="0"/>
              <w:left w:val="outset" w:color="auto" w:sz="6" w:space="0"/>
              <w:bottom w:val="outset" w:color="auto" w:sz="6" w:space="0"/>
              <w:right w:val="outset" w:color="auto" w:sz="6" w:space="0"/>
            </w:tcBorders>
            <w:vAlign w:val="center"/>
          </w:tcPr>
          <w:p w14:paraId="27891A30">
            <w:pPr>
              <w:pStyle w:val="11"/>
              <w:wordWrap w:val="0"/>
            </w:pPr>
            <w:r>
              <w:rPr>
                <w:rFonts w:hint="eastAsia"/>
              </w:rPr>
              <w:t>★供应商资格声明函</w:t>
            </w:r>
          </w:p>
        </w:tc>
        <w:tc>
          <w:tcPr>
            <w:tcW w:w="0" w:type="auto"/>
            <w:tcBorders>
              <w:top w:val="outset" w:color="auto" w:sz="6" w:space="0"/>
              <w:left w:val="outset" w:color="auto" w:sz="6" w:space="0"/>
              <w:bottom w:val="outset" w:color="auto" w:sz="6" w:space="0"/>
              <w:right w:val="outset" w:color="auto" w:sz="6" w:space="0"/>
            </w:tcBorders>
            <w:vAlign w:val="center"/>
          </w:tcPr>
          <w:p w14:paraId="0F4CA32E">
            <w:pPr>
              <w:pStyle w:val="11"/>
              <w:wordWrap w:val="0"/>
              <w:jc w:val="center"/>
            </w:pPr>
            <w:r>
              <w:rPr>
                <w:rFonts w:hint="eastAsia"/>
              </w:rPr>
              <w:t>电子签章</w:t>
            </w:r>
          </w:p>
        </w:tc>
      </w:tr>
      <w:tr w14:paraId="5CC5AB7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vAlign w:val="center"/>
          </w:tcPr>
          <w:p w14:paraId="496B1772">
            <w:pPr>
              <w:pStyle w:val="11"/>
              <w:wordWrap w:val="0"/>
              <w:jc w:val="center"/>
            </w:pPr>
            <w:r>
              <w:rPr>
                <w:rFonts w:hint="eastAsia"/>
              </w:rPr>
              <w:t>3</w:t>
            </w:r>
          </w:p>
        </w:tc>
        <w:tc>
          <w:tcPr>
            <w:tcW w:w="0" w:type="auto"/>
            <w:tcBorders>
              <w:top w:val="outset" w:color="auto" w:sz="6" w:space="0"/>
              <w:left w:val="outset" w:color="auto" w:sz="6" w:space="0"/>
              <w:bottom w:val="outset" w:color="auto" w:sz="6" w:space="0"/>
              <w:right w:val="outset" w:color="auto" w:sz="6" w:space="0"/>
            </w:tcBorders>
            <w:vAlign w:val="center"/>
          </w:tcPr>
          <w:p w14:paraId="16DDFBC3">
            <w:pPr>
              <w:pStyle w:val="11"/>
              <w:wordWrap w:val="0"/>
            </w:pPr>
            <w:r>
              <w:rPr>
                <w:rFonts w:hint="eastAsia"/>
              </w:rPr>
              <w:t>★《供应商资格声明函》的附件（提供以下相关证照之一的扫描件）：1企业法人提供企业法人营业执照；2事业法人提供事业法人登记证；3其他组织提供营业执照或执业许可证；4自然人提供居民身份证等。</w:t>
            </w:r>
          </w:p>
        </w:tc>
        <w:tc>
          <w:tcPr>
            <w:tcW w:w="0" w:type="auto"/>
            <w:tcBorders>
              <w:top w:val="outset" w:color="auto" w:sz="6" w:space="0"/>
              <w:left w:val="outset" w:color="auto" w:sz="6" w:space="0"/>
              <w:bottom w:val="outset" w:color="auto" w:sz="6" w:space="0"/>
              <w:right w:val="outset" w:color="auto" w:sz="6" w:space="0"/>
            </w:tcBorders>
            <w:vAlign w:val="center"/>
          </w:tcPr>
          <w:p w14:paraId="742CFFA6">
            <w:pPr>
              <w:pStyle w:val="11"/>
              <w:wordWrap w:val="0"/>
              <w:jc w:val="center"/>
            </w:pPr>
            <w:r>
              <w:rPr>
                <w:rFonts w:hint="eastAsia"/>
              </w:rPr>
              <w:t>电子签章</w:t>
            </w:r>
          </w:p>
        </w:tc>
      </w:tr>
      <w:tr w14:paraId="4194F1F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vAlign w:val="center"/>
          </w:tcPr>
          <w:p w14:paraId="4CEE8E25">
            <w:pPr>
              <w:pStyle w:val="11"/>
              <w:wordWrap w:val="0"/>
              <w:jc w:val="center"/>
            </w:pPr>
            <w:r>
              <w:rPr>
                <w:rFonts w:hint="eastAsia"/>
              </w:rPr>
              <w:t>4</w:t>
            </w:r>
          </w:p>
        </w:tc>
        <w:tc>
          <w:tcPr>
            <w:tcW w:w="0" w:type="auto"/>
            <w:tcBorders>
              <w:top w:val="outset" w:color="auto" w:sz="6" w:space="0"/>
              <w:left w:val="outset" w:color="auto" w:sz="6" w:space="0"/>
              <w:bottom w:val="outset" w:color="auto" w:sz="6" w:space="0"/>
              <w:right w:val="outset" w:color="auto" w:sz="6" w:space="0"/>
            </w:tcBorders>
            <w:vAlign w:val="center"/>
          </w:tcPr>
          <w:p w14:paraId="571EB6D9">
            <w:pPr>
              <w:pStyle w:val="11"/>
              <w:wordWrap w:val="0"/>
            </w:pPr>
            <w:r>
              <w:rPr>
                <w:rFonts w:hint="eastAsia"/>
              </w:rPr>
              <w:t>★开标一览表</w:t>
            </w:r>
          </w:p>
        </w:tc>
        <w:tc>
          <w:tcPr>
            <w:tcW w:w="0" w:type="auto"/>
            <w:tcBorders>
              <w:top w:val="outset" w:color="auto" w:sz="6" w:space="0"/>
              <w:left w:val="outset" w:color="auto" w:sz="6" w:space="0"/>
              <w:bottom w:val="outset" w:color="auto" w:sz="6" w:space="0"/>
              <w:right w:val="outset" w:color="auto" w:sz="6" w:space="0"/>
            </w:tcBorders>
            <w:vAlign w:val="center"/>
          </w:tcPr>
          <w:p w14:paraId="24AC692E">
            <w:pPr>
              <w:pStyle w:val="11"/>
              <w:wordWrap w:val="0"/>
              <w:jc w:val="center"/>
            </w:pPr>
            <w:r>
              <w:rPr>
                <w:rFonts w:hint="eastAsia"/>
              </w:rPr>
              <w:t>电子签章</w:t>
            </w:r>
          </w:p>
        </w:tc>
      </w:tr>
      <w:tr w14:paraId="35A4F26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vAlign w:val="center"/>
          </w:tcPr>
          <w:p w14:paraId="08D79234">
            <w:pPr>
              <w:pStyle w:val="11"/>
              <w:wordWrap w:val="0"/>
              <w:jc w:val="center"/>
            </w:pPr>
            <w:r>
              <w:rPr>
                <w:rFonts w:hint="eastAsia"/>
              </w:rPr>
              <w:t>5</w:t>
            </w:r>
          </w:p>
        </w:tc>
        <w:tc>
          <w:tcPr>
            <w:tcW w:w="0" w:type="auto"/>
            <w:tcBorders>
              <w:top w:val="outset" w:color="auto" w:sz="6" w:space="0"/>
              <w:left w:val="outset" w:color="auto" w:sz="6" w:space="0"/>
              <w:bottom w:val="outset" w:color="auto" w:sz="6" w:space="0"/>
              <w:right w:val="outset" w:color="auto" w:sz="6" w:space="0"/>
            </w:tcBorders>
            <w:vAlign w:val="center"/>
          </w:tcPr>
          <w:p w14:paraId="68CB9170">
            <w:pPr>
              <w:pStyle w:val="11"/>
              <w:wordWrap w:val="0"/>
            </w:pPr>
            <w:r>
              <w:rPr>
                <w:rFonts w:hint="eastAsia"/>
              </w:rPr>
              <w:t>报价明细表</w:t>
            </w:r>
          </w:p>
        </w:tc>
        <w:tc>
          <w:tcPr>
            <w:tcW w:w="0" w:type="auto"/>
            <w:tcBorders>
              <w:top w:val="outset" w:color="auto" w:sz="6" w:space="0"/>
              <w:left w:val="outset" w:color="auto" w:sz="6" w:space="0"/>
              <w:bottom w:val="outset" w:color="auto" w:sz="6" w:space="0"/>
              <w:right w:val="outset" w:color="auto" w:sz="6" w:space="0"/>
            </w:tcBorders>
            <w:vAlign w:val="center"/>
          </w:tcPr>
          <w:p w14:paraId="235A72D6">
            <w:pPr>
              <w:pStyle w:val="11"/>
              <w:wordWrap w:val="0"/>
              <w:jc w:val="center"/>
            </w:pPr>
            <w:r>
              <w:rPr>
                <w:rFonts w:hint="eastAsia"/>
              </w:rPr>
              <w:t>电子签章</w:t>
            </w:r>
          </w:p>
        </w:tc>
      </w:tr>
      <w:tr w14:paraId="00525CF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vAlign w:val="center"/>
          </w:tcPr>
          <w:p w14:paraId="18E8A4E4">
            <w:pPr>
              <w:pStyle w:val="11"/>
              <w:wordWrap w:val="0"/>
              <w:jc w:val="center"/>
            </w:pPr>
            <w:r>
              <w:rPr>
                <w:rFonts w:hint="eastAsia"/>
              </w:rPr>
              <w:t>6</w:t>
            </w:r>
          </w:p>
        </w:tc>
        <w:tc>
          <w:tcPr>
            <w:tcW w:w="0" w:type="auto"/>
            <w:tcBorders>
              <w:top w:val="outset" w:color="auto" w:sz="6" w:space="0"/>
              <w:left w:val="outset" w:color="auto" w:sz="6" w:space="0"/>
              <w:bottom w:val="outset" w:color="auto" w:sz="6" w:space="0"/>
              <w:right w:val="outset" w:color="auto" w:sz="6" w:space="0"/>
            </w:tcBorders>
            <w:vAlign w:val="center"/>
          </w:tcPr>
          <w:p w14:paraId="52A5A570">
            <w:pPr>
              <w:pStyle w:val="11"/>
              <w:wordWrap w:val="0"/>
            </w:pPr>
            <w:r>
              <w:rPr>
                <w:rFonts w:hint="eastAsia"/>
              </w:rPr>
              <w:t>★项目实质性响应条款一览表</w:t>
            </w:r>
          </w:p>
        </w:tc>
        <w:tc>
          <w:tcPr>
            <w:tcW w:w="0" w:type="auto"/>
            <w:tcBorders>
              <w:top w:val="outset" w:color="auto" w:sz="6" w:space="0"/>
              <w:left w:val="outset" w:color="auto" w:sz="6" w:space="0"/>
              <w:bottom w:val="outset" w:color="auto" w:sz="6" w:space="0"/>
              <w:right w:val="outset" w:color="auto" w:sz="6" w:space="0"/>
            </w:tcBorders>
            <w:vAlign w:val="center"/>
          </w:tcPr>
          <w:p w14:paraId="70BA22D2">
            <w:pPr>
              <w:pStyle w:val="11"/>
              <w:wordWrap w:val="0"/>
              <w:jc w:val="center"/>
            </w:pPr>
            <w:r>
              <w:rPr>
                <w:rFonts w:hint="eastAsia"/>
              </w:rPr>
              <w:t>电子签章</w:t>
            </w:r>
          </w:p>
        </w:tc>
      </w:tr>
      <w:tr w14:paraId="568E4AF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0" w:type="auto"/>
            <w:tcBorders>
              <w:top w:val="outset" w:color="auto" w:sz="6" w:space="0"/>
              <w:left w:val="outset" w:color="auto" w:sz="6" w:space="0"/>
              <w:bottom w:val="outset" w:color="auto" w:sz="6" w:space="0"/>
              <w:right w:val="outset" w:color="auto" w:sz="6" w:space="0"/>
            </w:tcBorders>
            <w:vAlign w:val="center"/>
          </w:tcPr>
          <w:p w14:paraId="6809123F">
            <w:pPr>
              <w:pStyle w:val="11"/>
              <w:wordWrap w:val="0"/>
              <w:jc w:val="center"/>
            </w:pPr>
            <w:r>
              <w:rPr>
                <w:rFonts w:hint="eastAsia"/>
              </w:rPr>
              <w:t>7</w:t>
            </w:r>
          </w:p>
        </w:tc>
        <w:tc>
          <w:tcPr>
            <w:tcW w:w="0" w:type="auto"/>
            <w:tcBorders>
              <w:top w:val="outset" w:color="auto" w:sz="6" w:space="0"/>
              <w:left w:val="outset" w:color="auto" w:sz="6" w:space="0"/>
              <w:bottom w:val="outset" w:color="auto" w:sz="6" w:space="0"/>
              <w:right w:val="outset" w:color="auto" w:sz="6" w:space="0"/>
            </w:tcBorders>
            <w:vAlign w:val="center"/>
          </w:tcPr>
          <w:p w14:paraId="3852DAEF">
            <w:pPr>
              <w:pStyle w:val="11"/>
              <w:wordWrap w:val="0"/>
            </w:pPr>
            <w:r>
              <w:rPr>
                <w:rFonts w:hint="eastAsia"/>
              </w:rPr>
              <w:t>业绩一览表（含该表备注要求的资料）</w:t>
            </w:r>
          </w:p>
        </w:tc>
        <w:tc>
          <w:tcPr>
            <w:tcW w:w="0" w:type="auto"/>
            <w:tcBorders>
              <w:top w:val="outset" w:color="auto" w:sz="6" w:space="0"/>
              <w:left w:val="outset" w:color="auto" w:sz="6" w:space="0"/>
              <w:bottom w:val="outset" w:color="auto" w:sz="6" w:space="0"/>
              <w:right w:val="outset" w:color="auto" w:sz="6" w:space="0"/>
            </w:tcBorders>
            <w:vAlign w:val="center"/>
          </w:tcPr>
          <w:p w14:paraId="21780060">
            <w:pPr>
              <w:pStyle w:val="11"/>
              <w:wordWrap w:val="0"/>
              <w:jc w:val="center"/>
            </w:pPr>
            <w:r>
              <w:rPr>
                <w:rFonts w:hint="eastAsia"/>
              </w:rPr>
              <w:t>电子签章</w:t>
            </w:r>
          </w:p>
        </w:tc>
      </w:tr>
      <w:tr w14:paraId="022667E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vAlign w:val="center"/>
          </w:tcPr>
          <w:p w14:paraId="117CB403">
            <w:pPr>
              <w:pStyle w:val="11"/>
              <w:wordWrap w:val="0"/>
              <w:jc w:val="center"/>
            </w:pPr>
            <w:r>
              <w:rPr>
                <w:rFonts w:hint="eastAsia"/>
              </w:rPr>
              <w:t>8</w:t>
            </w:r>
          </w:p>
        </w:tc>
        <w:tc>
          <w:tcPr>
            <w:tcW w:w="0" w:type="auto"/>
            <w:tcBorders>
              <w:top w:val="outset" w:color="auto" w:sz="6" w:space="0"/>
              <w:left w:val="outset" w:color="auto" w:sz="6" w:space="0"/>
              <w:bottom w:val="outset" w:color="auto" w:sz="6" w:space="0"/>
              <w:right w:val="outset" w:color="auto" w:sz="6" w:space="0"/>
            </w:tcBorders>
            <w:vAlign w:val="center"/>
          </w:tcPr>
          <w:p w14:paraId="42246462">
            <w:pPr>
              <w:pStyle w:val="11"/>
              <w:wordWrap w:val="0"/>
            </w:pPr>
            <w:r>
              <w:rPr>
                <w:rFonts w:hint="eastAsia"/>
              </w:rPr>
              <w:t>证书一览表（含该表备注要求的资料）</w:t>
            </w:r>
          </w:p>
        </w:tc>
        <w:tc>
          <w:tcPr>
            <w:tcW w:w="0" w:type="auto"/>
            <w:tcBorders>
              <w:top w:val="outset" w:color="auto" w:sz="6" w:space="0"/>
              <w:left w:val="outset" w:color="auto" w:sz="6" w:space="0"/>
              <w:bottom w:val="outset" w:color="auto" w:sz="6" w:space="0"/>
              <w:right w:val="outset" w:color="auto" w:sz="6" w:space="0"/>
            </w:tcBorders>
            <w:vAlign w:val="center"/>
          </w:tcPr>
          <w:p w14:paraId="4136A551">
            <w:pPr>
              <w:pStyle w:val="11"/>
              <w:wordWrap w:val="0"/>
              <w:jc w:val="center"/>
            </w:pPr>
            <w:r>
              <w:rPr>
                <w:rFonts w:hint="eastAsia"/>
              </w:rPr>
              <w:t>电子签章</w:t>
            </w:r>
          </w:p>
        </w:tc>
      </w:tr>
      <w:tr w14:paraId="4EE2DBA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vAlign w:val="center"/>
          </w:tcPr>
          <w:p w14:paraId="07F53FE8">
            <w:pPr>
              <w:pStyle w:val="11"/>
              <w:wordWrap w:val="0"/>
              <w:jc w:val="center"/>
            </w:pPr>
            <w:r>
              <w:rPr>
                <w:rFonts w:hint="eastAsia"/>
              </w:rPr>
              <w:t>9</w:t>
            </w:r>
          </w:p>
        </w:tc>
        <w:tc>
          <w:tcPr>
            <w:tcW w:w="0" w:type="auto"/>
            <w:tcBorders>
              <w:top w:val="outset" w:color="auto" w:sz="6" w:space="0"/>
              <w:left w:val="outset" w:color="auto" w:sz="6" w:space="0"/>
              <w:bottom w:val="outset" w:color="auto" w:sz="6" w:space="0"/>
              <w:right w:val="outset" w:color="auto" w:sz="6" w:space="0"/>
            </w:tcBorders>
            <w:vAlign w:val="center"/>
          </w:tcPr>
          <w:p w14:paraId="7CF0A5F5">
            <w:pPr>
              <w:pStyle w:val="11"/>
              <w:wordWrap w:val="0"/>
            </w:pPr>
            <w:r>
              <w:rPr>
                <w:rFonts w:hint="eastAsia"/>
              </w:rPr>
              <w:t>★属于分支机构报价的，还须提供分支机构的营业执照（执业许可证）扫描件及总公司（总所）出具给分支机构的授权书，授权书须加盖总公司（总所）公章</w:t>
            </w:r>
          </w:p>
        </w:tc>
        <w:tc>
          <w:tcPr>
            <w:tcW w:w="0" w:type="auto"/>
            <w:tcBorders>
              <w:top w:val="outset" w:color="auto" w:sz="6" w:space="0"/>
              <w:left w:val="outset" w:color="auto" w:sz="6" w:space="0"/>
              <w:bottom w:val="outset" w:color="auto" w:sz="6" w:space="0"/>
              <w:right w:val="outset" w:color="auto" w:sz="6" w:space="0"/>
            </w:tcBorders>
            <w:vAlign w:val="center"/>
          </w:tcPr>
          <w:p w14:paraId="2DBF036F">
            <w:pPr>
              <w:pStyle w:val="11"/>
              <w:wordWrap w:val="0"/>
              <w:jc w:val="center"/>
            </w:pPr>
            <w:r>
              <w:rPr>
                <w:rFonts w:hint="eastAsia"/>
              </w:rPr>
              <w:t>电子签章</w:t>
            </w:r>
          </w:p>
        </w:tc>
      </w:tr>
      <w:tr w14:paraId="0C20963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vAlign w:val="center"/>
          </w:tcPr>
          <w:p w14:paraId="0668624C">
            <w:pPr>
              <w:pStyle w:val="11"/>
              <w:wordWrap w:val="0"/>
              <w:jc w:val="center"/>
            </w:pPr>
            <w:r>
              <w:rPr>
                <w:rFonts w:hint="eastAsia"/>
              </w:rPr>
              <w:t>10</w:t>
            </w:r>
          </w:p>
        </w:tc>
        <w:tc>
          <w:tcPr>
            <w:tcW w:w="0" w:type="auto"/>
            <w:tcBorders>
              <w:top w:val="outset" w:color="auto" w:sz="6" w:space="0"/>
              <w:left w:val="outset" w:color="auto" w:sz="6" w:space="0"/>
              <w:bottom w:val="outset" w:color="auto" w:sz="6" w:space="0"/>
              <w:right w:val="outset" w:color="auto" w:sz="6" w:space="0"/>
            </w:tcBorders>
            <w:vAlign w:val="center"/>
          </w:tcPr>
          <w:p w14:paraId="685B46E1">
            <w:pPr>
              <w:pStyle w:val="11"/>
              <w:wordWrap w:val="0"/>
            </w:pPr>
            <w:r>
              <w:rPr>
                <w:rFonts w:hint="eastAsia"/>
              </w:rPr>
              <w:t>磋商供应商认为有必要说明的其他商务文件资料</w:t>
            </w:r>
          </w:p>
        </w:tc>
        <w:tc>
          <w:tcPr>
            <w:tcW w:w="0" w:type="auto"/>
            <w:tcBorders>
              <w:top w:val="outset" w:color="auto" w:sz="6" w:space="0"/>
              <w:left w:val="outset" w:color="auto" w:sz="6" w:space="0"/>
              <w:bottom w:val="outset" w:color="auto" w:sz="6" w:space="0"/>
              <w:right w:val="outset" w:color="auto" w:sz="6" w:space="0"/>
            </w:tcBorders>
            <w:vAlign w:val="center"/>
          </w:tcPr>
          <w:p w14:paraId="04B14D70">
            <w:pPr>
              <w:pStyle w:val="11"/>
              <w:wordWrap w:val="0"/>
              <w:jc w:val="center"/>
            </w:pPr>
            <w:r>
              <w:rPr>
                <w:rFonts w:hint="eastAsia"/>
              </w:rPr>
              <w:t>电子签章</w:t>
            </w:r>
          </w:p>
        </w:tc>
      </w:tr>
      <w:tr w14:paraId="03546A1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0" w:type="auto"/>
            <w:gridSpan w:val="3"/>
            <w:tcBorders>
              <w:top w:val="outset" w:color="auto" w:sz="6" w:space="0"/>
              <w:left w:val="outset" w:color="auto" w:sz="6" w:space="0"/>
              <w:bottom w:val="outset" w:color="auto" w:sz="6" w:space="0"/>
              <w:right w:val="outset" w:color="auto" w:sz="6" w:space="0"/>
            </w:tcBorders>
            <w:vAlign w:val="center"/>
          </w:tcPr>
          <w:p w14:paraId="521C5851">
            <w:pPr>
              <w:pStyle w:val="11"/>
              <w:wordWrap w:val="0"/>
              <w:jc w:val="center"/>
            </w:pPr>
            <w:r>
              <w:rPr>
                <w:rFonts w:hint="eastAsia"/>
              </w:rPr>
              <w:t>技术文件</w:t>
            </w:r>
          </w:p>
        </w:tc>
      </w:tr>
      <w:tr w14:paraId="1E75CD5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vAlign w:val="center"/>
          </w:tcPr>
          <w:p w14:paraId="6982685F">
            <w:pPr>
              <w:pStyle w:val="11"/>
              <w:wordWrap w:val="0"/>
              <w:jc w:val="center"/>
            </w:pPr>
            <w:r>
              <w:rPr>
                <w:rFonts w:hint="eastAsia"/>
              </w:rPr>
              <w:t>1</w:t>
            </w:r>
          </w:p>
        </w:tc>
        <w:tc>
          <w:tcPr>
            <w:tcW w:w="0" w:type="auto"/>
            <w:tcBorders>
              <w:top w:val="outset" w:color="auto" w:sz="6" w:space="0"/>
              <w:left w:val="outset" w:color="auto" w:sz="6" w:space="0"/>
              <w:bottom w:val="outset" w:color="auto" w:sz="6" w:space="0"/>
              <w:right w:val="outset" w:color="auto" w:sz="6" w:space="0"/>
            </w:tcBorders>
            <w:vAlign w:val="center"/>
          </w:tcPr>
          <w:p w14:paraId="5ABA6A31">
            <w:pPr>
              <w:pStyle w:val="11"/>
              <w:wordWrap w:val="0"/>
            </w:pPr>
            <w:r>
              <w:rPr>
                <w:rFonts w:hint="eastAsia"/>
              </w:rPr>
              <w:t>服务方案一般性条款响应差异表</w:t>
            </w:r>
          </w:p>
        </w:tc>
        <w:tc>
          <w:tcPr>
            <w:tcW w:w="0" w:type="auto"/>
            <w:tcBorders>
              <w:top w:val="outset" w:color="auto" w:sz="6" w:space="0"/>
              <w:left w:val="outset" w:color="auto" w:sz="6" w:space="0"/>
              <w:bottom w:val="outset" w:color="auto" w:sz="6" w:space="0"/>
              <w:right w:val="outset" w:color="auto" w:sz="6" w:space="0"/>
            </w:tcBorders>
            <w:vAlign w:val="center"/>
          </w:tcPr>
          <w:p w14:paraId="40083511">
            <w:pPr>
              <w:pStyle w:val="11"/>
              <w:wordWrap w:val="0"/>
              <w:jc w:val="center"/>
            </w:pPr>
            <w:r>
              <w:rPr>
                <w:rFonts w:hint="eastAsia"/>
              </w:rPr>
              <w:t>电子签章</w:t>
            </w:r>
          </w:p>
        </w:tc>
      </w:tr>
      <w:tr w14:paraId="278547D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vAlign w:val="center"/>
          </w:tcPr>
          <w:p w14:paraId="0ED767DD">
            <w:pPr>
              <w:pStyle w:val="11"/>
              <w:wordWrap w:val="0"/>
              <w:jc w:val="center"/>
            </w:pPr>
            <w:r>
              <w:rPr>
                <w:rFonts w:hint="eastAsia"/>
              </w:rPr>
              <w:t>2</w:t>
            </w:r>
          </w:p>
        </w:tc>
        <w:tc>
          <w:tcPr>
            <w:tcW w:w="0" w:type="auto"/>
            <w:tcBorders>
              <w:top w:val="outset" w:color="auto" w:sz="6" w:space="0"/>
              <w:left w:val="outset" w:color="auto" w:sz="6" w:space="0"/>
              <w:bottom w:val="outset" w:color="auto" w:sz="6" w:space="0"/>
              <w:right w:val="outset" w:color="auto" w:sz="6" w:space="0"/>
            </w:tcBorders>
            <w:vAlign w:val="center"/>
          </w:tcPr>
          <w:p w14:paraId="7CC25FB2">
            <w:pPr>
              <w:pStyle w:val="11"/>
              <w:wordWrap w:val="0"/>
            </w:pPr>
            <w:r>
              <w:rPr>
                <w:rFonts w:hint="eastAsia"/>
              </w:rPr>
              <w:t>拟投入本项目设备情况说明及证明材料</w:t>
            </w:r>
          </w:p>
        </w:tc>
        <w:tc>
          <w:tcPr>
            <w:tcW w:w="0" w:type="auto"/>
            <w:tcBorders>
              <w:top w:val="outset" w:color="auto" w:sz="6" w:space="0"/>
              <w:left w:val="outset" w:color="auto" w:sz="6" w:space="0"/>
              <w:bottom w:val="outset" w:color="auto" w:sz="6" w:space="0"/>
              <w:right w:val="outset" w:color="auto" w:sz="6" w:space="0"/>
            </w:tcBorders>
            <w:vAlign w:val="center"/>
          </w:tcPr>
          <w:p w14:paraId="5B9C806C">
            <w:pPr>
              <w:pStyle w:val="11"/>
              <w:wordWrap w:val="0"/>
              <w:jc w:val="center"/>
            </w:pPr>
            <w:r>
              <w:rPr>
                <w:rFonts w:hint="eastAsia"/>
              </w:rPr>
              <w:t>电子签章</w:t>
            </w:r>
          </w:p>
        </w:tc>
      </w:tr>
      <w:tr w14:paraId="2987805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vAlign w:val="center"/>
          </w:tcPr>
          <w:p w14:paraId="772AE15A">
            <w:pPr>
              <w:pStyle w:val="11"/>
              <w:wordWrap w:val="0"/>
              <w:jc w:val="center"/>
            </w:pPr>
            <w:r>
              <w:rPr>
                <w:rFonts w:hint="eastAsia"/>
              </w:rPr>
              <w:t>3</w:t>
            </w:r>
          </w:p>
        </w:tc>
        <w:tc>
          <w:tcPr>
            <w:tcW w:w="0" w:type="auto"/>
            <w:tcBorders>
              <w:top w:val="outset" w:color="auto" w:sz="6" w:space="0"/>
              <w:left w:val="outset" w:color="auto" w:sz="6" w:space="0"/>
              <w:bottom w:val="outset" w:color="auto" w:sz="6" w:space="0"/>
              <w:right w:val="outset" w:color="auto" w:sz="6" w:space="0"/>
            </w:tcBorders>
            <w:vAlign w:val="center"/>
          </w:tcPr>
          <w:p w14:paraId="09194CD3">
            <w:pPr>
              <w:pStyle w:val="11"/>
              <w:wordWrap w:val="0"/>
            </w:pPr>
            <w:r>
              <w:rPr>
                <w:rFonts w:hint="eastAsia"/>
              </w:rPr>
              <w:t>磋商供应商认为有必要说明的其他服务文件资料</w:t>
            </w:r>
          </w:p>
        </w:tc>
        <w:tc>
          <w:tcPr>
            <w:tcW w:w="0" w:type="auto"/>
            <w:tcBorders>
              <w:top w:val="outset" w:color="auto" w:sz="6" w:space="0"/>
              <w:left w:val="outset" w:color="auto" w:sz="6" w:space="0"/>
              <w:bottom w:val="outset" w:color="auto" w:sz="6" w:space="0"/>
              <w:right w:val="outset" w:color="auto" w:sz="6" w:space="0"/>
            </w:tcBorders>
            <w:vAlign w:val="center"/>
          </w:tcPr>
          <w:p w14:paraId="1905C913">
            <w:pPr>
              <w:pStyle w:val="11"/>
              <w:wordWrap w:val="0"/>
              <w:jc w:val="center"/>
            </w:pPr>
            <w:r>
              <w:rPr>
                <w:rFonts w:hint="eastAsia"/>
              </w:rPr>
              <w:t>电子签章</w:t>
            </w:r>
          </w:p>
        </w:tc>
      </w:tr>
      <w:tr w14:paraId="5F754CD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vAlign w:val="center"/>
          </w:tcPr>
          <w:p w14:paraId="388616C0">
            <w:pPr>
              <w:pStyle w:val="11"/>
              <w:wordWrap w:val="0"/>
              <w:jc w:val="center"/>
            </w:pPr>
            <w:r>
              <w:rPr>
                <w:rFonts w:hint="eastAsia"/>
              </w:rPr>
              <w:t>4</w:t>
            </w:r>
          </w:p>
        </w:tc>
        <w:tc>
          <w:tcPr>
            <w:tcW w:w="0" w:type="auto"/>
            <w:tcBorders>
              <w:top w:val="outset" w:color="auto" w:sz="6" w:space="0"/>
              <w:left w:val="outset" w:color="auto" w:sz="6" w:space="0"/>
              <w:bottom w:val="outset" w:color="auto" w:sz="6" w:space="0"/>
              <w:right w:val="outset" w:color="auto" w:sz="6" w:space="0"/>
            </w:tcBorders>
            <w:vAlign w:val="center"/>
          </w:tcPr>
          <w:p w14:paraId="1EF13C08">
            <w:pPr>
              <w:pStyle w:val="11"/>
              <w:wordWrap w:val="0"/>
            </w:pPr>
            <w:r>
              <w:rPr>
                <w:rFonts w:hint="eastAsia"/>
              </w:rPr>
              <w:t>服务响应保障</w:t>
            </w:r>
          </w:p>
        </w:tc>
        <w:tc>
          <w:tcPr>
            <w:tcW w:w="0" w:type="auto"/>
            <w:tcBorders>
              <w:top w:val="outset" w:color="auto" w:sz="6" w:space="0"/>
              <w:left w:val="outset" w:color="auto" w:sz="6" w:space="0"/>
              <w:bottom w:val="outset" w:color="auto" w:sz="6" w:space="0"/>
              <w:right w:val="outset" w:color="auto" w:sz="6" w:space="0"/>
            </w:tcBorders>
            <w:vAlign w:val="center"/>
          </w:tcPr>
          <w:p w14:paraId="0076B20A">
            <w:pPr>
              <w:pStyle w:val="11"/>
              <w:wordWrap w:val="0"/>
              <w:jc w:val="center"/>
            </w:pPr>
            <w:r>
              <w:rPr>
                <w:rFonts w:hint="eastAsia"/>
              </w:rPr>
              <w:t>电子签章</w:t>
            </w:r>
          </w:p>
        </w:tc>
      </w:tr>
      <w:tr w14:paraId="7667CC4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vAlign w:val="center"/>
          </w:tcPr>
          <w:p w14:paraId="72F6FF05">
            <w:pPr>
              <w:pStyle w:val="11"/>
              <w:wordWrap w:val="0"/>
              <w:jc w:val="center"/>
            </w:pPr>
            <w:r>
              <w:rPr>
                <w:rFonts w:hint="eastAsia"/>
              </w:rPr>
              <w:t>5</w:t>
            </w:r>
          </w:p>
        </w:tc>
        <w:tc>
          <w:tcPr>
            <w:tcW w:w="0" w:type="auto"/>
            <w:tcBorders>
              <w:top w:val="outset" w:color="auto" w:sz="6" w:space="0"/>
              <w:left w:val="outset" w:color="auto" w:sz="6" w:space="0"/>
              <w:bottom w:val="outset" w:color="auto" w:sz="6" w:space="0"/>
              <w:right w:val="outset" w:color="auto" w:sz="6" w:space="0"/>
            </w:tcBorders>
            <w:vAlign w:val="center"/>
          </w:tcPr>
          <w:p w14:paraId="2E7341EA">
            <w:pPr>
              <w:pStyle w:val="11"/>
              <w:wordWrap w:val="0"/>
            </w:pPr>
            <w:r>
              <w:rPr>
                <w:rFonts w:hint="eastAsia"/>
              </w:rPr>
              <w:t>总体维保服务方案</w:t>
            </w:r>
          </w:p>
        </w:tc>
        <w:tc>
          <w:tcPr>
            <w:tcW w:w="0" w:type="auto"/>
            <w:tcBorders>
              <w:top w:val="outset" w:color="auto" w:sz="6" w:space="0"/>
              <w:left w:val="outset" w:color="auto" w:sz="6" w:space="0"/>
              <w:bottom w:val="outset" w:color="auto" w:sz="6" w:space="0"/>
              <w:right w:val="outset" w:color="auto" w:sz="6" w:space="0"/>
            </w:tcBorders>
            <w:vAlign w:val="center"/>
          </w:tcPr>
          <w:p w14:paraId="5CF2F818">
            <w:pPr>
              <w:pStyle w:val="11"/>
              <w:wordWrap w:val="0"/>
              <w:jc w:val="center"/>
            </w:pPr>
            <w:r>
              <w:rPr>
                <w:rFonts w:hint="eastAsia"/>
              </w:rPr>
              <w:t>电子签章</w:t>
            </w:r>
          </w:p>
        </w:tc>
      </w:tr>
      <w:tr w14:paraId="5BE32DC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0" w:type="auto"/>
            <w:tcBorders>
              <w:top w:val="outset" w:color="auto" w:sz="6" w:space="0"/>
              <w:left w:val="outset" w:color="auto" w:sz="6" w:space="0"/>
              <w:bottom w:val="outset" w:color="auto" w:sz="6" w:space="0"/>
              <w:right w:val="outset" w:color="auto" w:sz="6" w:space="0"/>
            </w:tcBorders>
            <w:vAlign w:val="center"/>
          </w:tcPr>
          <w:p w14:paraId="60D129C0">
            <w:pPr>
              <w:pStyle w:val="11"/>
              <w:wordWrap w:val="0"/>
              <w:jc w:val="center"/>
            </w:pPr>
            <w:r>
              <w:rPr>
                <w:rFonts w:hint="eastAsia"/>
              </w:rPr>
              <w:t>6</w:t>
            </w:r>
          </w:p>
        </w:tc>
        <w:tc>
          <w:tcPr>
            <w:tcW w:w="0" w:type="auto"/>
            <w:tcBorders>
              <w:top w:val="outset" w:color="auto" w:sz="6" w:space="0"/>
              <w:left w:val="outset" w:color="auto" w:sz="6" w:space="0"/>
              <w:bottom w:val="outset" w:color="auto" w:sz="6" w:space="0"/>
              <w:right w:val="outset" w:color="auto" w:sz="6" w:space="0"/>
            </w:tcBorders>
            <w:vAlign w:val="center"/>
          </w:tcPr>
          <w:p w14:paraId="52FF60C7">
            <w:pPr>
              <w:pStyle w:val="11"/>
              <w:wordWrap w:val="0"/>
            </w:pPr>
            <w:r>
              <w:rPr>
                <w:rFonts w:hint="eastAsia"/>
              </w:rPr>
              <w:t>定期保养管理制度</w:t>
            </w:r>
          </w:p>
        </w:tc>
        <w:tc>
          <w:tcPr>
            <w:tcW w:w="0" w:type="auto"/>
            <w:tcBorders>
              <w:top w:val="outset" w:color="auto" w:sz="6" w:space="0"/>
              <w:left w:val="outset" w:color="auto" w:sz="6" w:space="0"/>
              <w:bottom w:val="outset" w:color="auto" w:sz="6" w:space="0"/>
              <w:right w:val="outset" w:color="auto" w:sz="6" w:space="0"/>
            </w:tcBorders>
            <w:vAlign w:val="center"/>
          </w:tcPr>
          <w:p w14:paraId="55CCBAA1">
            <w:pPr>
              <w:pStyle w:val="11"/>
              <w:wordWrap w:val="0"/>
              <w:jc w:val="center"/>
            </w:pPr>
            <w:r>
              <w:rPr>
                <w:rFonts w:hint="eastAsia"/>
              </w:rPr>
              <w:t>电子签章</w:t>
            </w:r>
          </w:p>
        </w:tc>
      </w:tr>
      <w:tr w14:paraId="1F0A44F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vAlign w:val="center"/>
          </w:tcPr>
          <w:p w14:paraId="13EE7F55">
            <w:pPr>
              <w:pStyle w:val="11"/>
              <w:wordWrap w:val="0"/>
              <w:jc w:val="center"/>
            </w:pPr>
            <w:r>
              <w:rPr>
                <w:rFonts w:hint="eastAsia"/>
              </w:rPr>
              <w:t>7</w:t>
            </w:r>
          </w:p>
        </w:tc>
        <w:tc>
          <w:tcPr>
            <w:tcW w:w="0" w:type="auto"/>
            <w:tcBorders>
              <w:top w:val="outset" w:color="auto" w:sz="6" w:space="0"/>
              <w:left w:val="outset" w:color="auto" w:sz="6" w:space="0"/>
              <w:bottom w:val="outset" w:color="auto" w:sz="6" w:space="0"/>
              <w:right w:val="outset" w:color="auto" w:sz="6" w:space="0"/>
            </w:tcBorders>
            <w:vAlign w:val="center"/>
          </w:tcPr>
          <w:p w14:paraId="463DCAC3">
            <w:pPr>
              <w:pStyle w:val="11"/>
              <w:wordWrap w:val="0"/>
            </w:pPr>
            <w:r>
              <w:rPr>
                <w:rFonts w:hint="eastAsia"/>
              </w:rPr>
              <w:t>应急保障服务方案</w:t>
            </w:r>
          </w:p>
        </w:tc>
        <w:tc>
          <w:tcPr>
            <w:tcW w:w="0" w:type="auto"/>
            <w:tcBorders>
              <w:top w:val="outset" w:color="auto" w:sz="6" w:space="0"/>
              <w:left w:val="outset" w:color="auto" w:sz="6" w:space="0"/>
              <w:bottom w:val="outset" w:color="auto" w:sz="6" w:space="0"/>
              <w:right w:val="outset" w:color="auto" w:sz="6" w:space="0"/>
            </w:tcBorders>
            <w:vAlign w:val="center"/>
          </w:tcPr>
          <w:p w14:paraId="1F014F2E">
            <w:pPr>
              <w:pStyle w:val="11"/>
              <w:wordWrap w:val="0"/>
              <w:jc w:val="center"/>
            </w:pPr>
            <w:r>
              <w:rPr>
                <w:rFonts w:hint="eastAsia"/>
              </w:rPr>
              <w:t>电子签章</w:t>
            </w:r>
          </w:p>
        </w:tc>
      </w:tr>
      <w:tr w14:paraId="38CCE22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vAlign w:val="center"/>
          </w:tcPr>
          <w:p w14:paraId="6C4C6874">
            <w:pPr>
              <w:pStyle w:val="11"/>
              <w:wordWrap w:val="0"/>
              <w:jc w:val="center"/>
            </w:pPr>
            <w:r>
              <w:rPr>
                <w:rFonts w:hint="eastAsia"/>
              </w:rPr>
              <w:t>8</w:t>
            </w:r>
          </w:p>
        </w:tc>
        <w:tc>
          <w:tcPr>
            <w:tcW w:w="0" w:type="auto"/>
            <w:tcBorders>
              <w:top w:val="outset" w:color="auto" w:sz="6" w:space="0"/>
              <w:left w:val="outset" w:color="auto" w:sz="6" w:space="0"/>
              <w:bottom w:val="outset" w:color="auto" w:sz="6" w:space="0"/>
              <w:right w:val="outset" w:color="auto" w:sz="6" w:space="0"/>
            </w:tcBorders>
            <w:vAlign w:val="center"/>
          </w:tcPr>
          <w:p w14:paraId="56133E2D">
            <w:pPr>
              <w:pStyle w:val="11"/>
              <w:wordWrap w:val="0"/>
            </w:pPr>
            <w:r>
              <w:rPr>
                <w:rFonts w:hint="eastAsia"/>
              </w:rPr>
              <w:t>保密承诺</w:t>
            </w:r>
          </w:p>
        </w:tc>
        <w:tc>
          <w:tcPr>
            <w:tcW w:w="0" w:type="auto"/>
            <w:tcBorders>
              <w:top w:val="outset" w:color="auto" w:sz="6" w:space="0"/>
              <w:left w:val="outset" w:color="auto" w:sz="6" w:space="0"/>
              <w:bottom w:val="outset" w:color="auto" w:sz="6" w:space="0"/>
              <w:right w:val="outset" w:color="auto" w:sz="6" w:space="0"/>
            </w:tcBorders>
            <w:vAlign w:val="center"/>
          </w:tcPr>
          <w:p w14:paraId="26E49A5E">
            <w:pPr>
              <w:pStyle w:val="11"/>
              <w:wordWrap w:val="0"/>
              <w:jc w:val="center"/>
            </w:pPr>
            <w:r>
              <w:rPr>
                <w:rFonts w:hint="eastAsia"/>
              </w:rPr>
              <w:t>电子签章</w:t>
            </w:r>
          </w:p>
        </w:tc>
      </w:tr>
      <w:tr w14:paraId="545DB10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0" w:type="auto"/>
            <w:gridSpan w:val="3"/>
            <w:tcBorders>
              <w:top w:val="outset" w:color="auto" w:sz="6" w:space="0"/>
              <w:left w:val="outset" w:color="auto" w:sz="6" w:space="0"/>
              <w:bottom w:val="outset" w:color="auto" w:sz="6" w:space="0"/>
              <w:right w:val="outset" w:color="auto" w:sz="6" w:space="0"/>
            </w:tcBorders>
            <w:vAlign w:val="center"/>
          </w:tcPr>
          <w:p w14:paraId="0D34A3C7">
            <w:pPr>
              <w:pStyle w:val="11"/>
              <w:wordWrap w:val="0"/>
              <w:jc w:val="center"/>
            </w:pPr>
            <w:r>
              <w:rPr>
                <w:rFonts w:hint="eastAsia"/>
              </w:rPr>
              <w:t>其他文件</w:t>
            </w:r>
          </w:p>
        </w:tc>
      </w:tr>
      <w:tr w14:paraId="7FB9FF7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vAlign w:val="center"/>
          </w:tcPr>
          <w:p w14:paraId="7E2C31F2">
            <w:pPr>
              <w:pStyle w:val="11"/>
              <w:wordWrap w:val="0"/>
              <w:jc w:val="center"/>
            </w:pPr>
            <w:r>
              <w:rPr>
                <w:rFonts w:hint="eastAsia"/>
              </w:rPr>
              <w:t>1</w:t>
            </w:r>
          </w:p>
        </w:tc>
        <w:tc>
          <w:tcPr>
            <w:tcW w:w="0" w:type="auto"/>
            <w:tcBorders>
              <w:top w:val="outset" w:color="auto" w:sz="6" w:space="0"/>
              <w:left w:val="outset" w:color="auto" w:sz="6" w:space="0"/>
              <w:bottom w:val="outset" w:color="auto" w:sz="6" w:space="0"/>
              <w:right w:val="outset" w:color="auto" w:sz="6" w:space="0"/>
            </w:tcBorders>
            <w:vAlign w:val="center"/>
          </w:tcPr>
          <w:p w14:paraId="017E163A">
            <w:pPr>
              <w:pStyle w:val="11"/>
              <w:wordWrap w:val="0"/>
            </w:pPr>
            <w:r>
              <w:rPr>
                <w:rFonts w:hint="eastAsia"/>
              </w:rPr>
              <w:t>须磋商现场提交原件的文件</w:t>
            </w:r>
          </w:p>
        </w:tc>
        <w:tc>
          <w:tcPr>
            <w:tcW w:w="0" w:type="auto"/>
            <w:tcBorders>
              <w:top w:val="outset" w:color="auto" w:sz="6" w:space="0"/>
              <w:left w:val="outset" w:color="auto" w:sz="6" w:space="0"/>
              <w:bottom w:val="outset" w:color="auto" w:sz="6" w:space="0"/>
              <w:right w:val="outset" w:color="auto" w:sz="6" w:space="0"/>
            </w:tcBorders>
            <w:vAlign w:val="center"/>
          </w:tcPr>
          <w:p w14:paraId="60D3F050">
            <w:pPr>
              <w:pStyle w:val="11"/>
              <w:wordWrap w:val="0"/>
              <w:jc w:val="center"/>
            </w:pPr>
            <w:r>
              <w:rPr>
                <w:rFonts w:hint="eastAsia"/>
              </w:rPr>
              <w:t>电子签章</w:t>
            </w:r>
          </w:p>
        </w:tc>
      </w:tr>
    </w:tbl>
    <w:p w14:paraId="00D9F0CC">
      <w:pPr>
        <w:pStyle w:val="35"/>
        <w:shd w:val="clear" w:color="auto" w:fill="FFFFFF"/>
        <w:spacing w:after="300" w:afterAutospacing="0"/>
        <w:rPr>
          <w:color w:val="333333"/>
          <w:lang w:val="en"/>
        </w:rPr>
      </w:pPr>
      <w:r>
        <w:rPr>
          <w:rStyle w:val="16"/>
          <w:rFonts w:hint="eastAsia"/>
          <w:lang w:val="en"/>
        </w:rPr>
        <w:t>特别提示与要求！</w:t>
      </w:r>
      <w:r>
        <w:rPr>
          <w:rFonts w:hint="eastAsia"/>
          <w:color w:val="333333"/>
          <w:lang w:val="en"/>
        </w:rPr>
        <w:t xml:space="preserve"> </w:t>
      </w:r>
    </w:p>
    <w:p w14:paraId="107532BE">
      <w:pPr>
        <w:pStyle w:val="11"/>
        <w:shd w:val="clear" w:color="auto" w:fill="FFFFFF"/>
        <w:ind w:firstLine="480"/>
        <w:rPr>
          <w:color w:val="333333"/>
          <w:lang w:val="en"/>
        </w:rPr>
      </w:pPr>
      <w:r>
        <w:rPr>
          <w:rStyle w:val="16"/>
          <w:rFonts w:hint="eastAsia"/>
          <w:lang w:val="en"/>
        </w:rPr>
        <w:t>特别提醒：</w:t>
      </w:r>
      <w:r>
        <w:rPr>
          <w:rFonts w:hint="eastAsia"/>
          <w:color w:val="333333"/>
          <w:lang w:val="en"/>
        </w:rPr>
        <w:t xml:space="preserve">带★号为重要文件，供应商必须有效、完整地提供，否则将按无效响应处理。所有证书类文件提供扫描件且必须在有效期内。 </w:t>
      </w:r>
    </w:p>
    <w:p w14:paraId="47229AF8"/>
    <w:p w14:paraId="746AE3C9">
      <w:pPr>
        <w:sectPr>
          <w:pgSz w:w="11906" w:h="16838"/>
          <w:pgMar w:top="1440" w:right="1800" w:bottom="1440" w:left="1800" w:header="851" w:footer="992" w:gutter="0"/>
          <w:cols w:space="720" w:num="1"/>
          <w:docGrid w:type="lines" w:linePitch="312" w:charSpace="0"/>
        </w:sectPr>
      </w:pPr>
    </w:p>
    <w:p w14:paraId="590A83FB">
      <w:pPr>
        <w:jc w:val="center"/>
        <w:outlineLvl w:val="1"/>
        <w:rPr>
          <w:rFonts w:ascii="宋体" w:hAnsi="宋体" w:eastAsia="宋体"/>
          <w:b/>
          <w:sz w:val="24"/>
        </w:rPr>
      </w:pPr>
      <w:r>
        <w:rPr>
          <w:rFonts w:ascii="宋体" w:hAnsi="宋体" w:eastAsia="宋体"/>
          <w:b/>
          <w:sz w:val="24"/>
        </w:rPr>
        <w:t>商务文件</w:t>
      </w:r>
    </w:p>
    <w:p w14:paraId="2CB3B24A">
      <w:pPr>
        <w:spacing w:line="360" w:lineRule="auto"/>
        <w:jc w:val="center"/>
        <w:rPr>
          <w:rFonts w:ascii="宋体" w:hAnsi="宋体" w:cs="Arial"/>
          <w:b/>
          <w:bCs/>
          <w:kern w:val="0"/>
          <w:sz w:val="28"/>
          <w:szCs w:val="28"/>
          <w:lang w:val="zh-CN"/>
        </w:rPr>
      </w:pPr>
      <w:r>
        <w:rPr>
          <w:rFonts w:hint="eastAsia" w:ascii="宋体" w:hAnsi="宋体"/>
          <w:b/>
          <w:sz w:val="28"/>
          <w:szCs w:val="28"/>
        </w:rPr>
        <w:t>报价承诺函</w:t>
      </w:r>
    </w:p>
    <w:p w14:paraId="3F773419">
      <w:pPr>
        <w:spacing w:line="360" w:lineRule="auto"/>
        <w:rPr>
          <w:rFonts w:ascii="宋体" w:hAnsi="宋体"/>
          <w:sz w:val="24"/>
          <w:szCs w:val="24"/>
        </w:rPr>
      </w:pPr>
      <w:r>
        <w:rPr>
          <w:rFonts w:hint="eastAsia" w:ascii="宋体" w:hAnsi="宋体"/>
          <w:sz w:val="24"/>
          <w:szCs w:val="24"/>
        </w:rPr>
        <w:t>广州市政府采购中心</w:t>
      </w:r>
    </w:p>
    <w:p w14:paraId="072FD659">
      <w:pPr>
        <w:spacing w:line="360" w:lineRule="auto"/>
        <w:ind w:firstLine="424" w:firstLineChars="177"/>
        <w:rPr>
          <w:rFonts w:ascii="宋体" w:hAnsi="宋体"/>
          <w:sz w:val="24"/>
          <w:szCs w:val="24"/>
        </w:rPr>
      </w:pPr>
      <w:r>
        <w:rPr>
          <w:rFonts w:hint="eastAsia" w:ascii="宋体" w:hAnsi="宋体"/>
          <w:sz w:val="24"/>
          <w:szCs w:val="24"/>
        </w:rPr>
        <w:t>我方确认收到</w:t>
      </w:r>
      <w:r>
        <w:rPr>
          <w:rFonts w:hint="eastAsia" w:ascii="宋体" w:hAnsi="宋体"/>
          <w:sz w:val="24"/>
        </w:rPr>
        <w:t>贵方</w:t>
      </w:r>
      <w:r>
        <w:rPr>
          <w:rFonts w:hint="eastAsia" w:ascii="宋体" w:hAnsi="宋体"/>
          <w:sz w:val="24"/>
          <w:szCs w:val="24"/>
        </w:rPr>
        <w:t>提供的“</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cs="Arial"/>
          <w:sz w:val="24"/>
          <w:szCs w:val="24"/>
          <w:lang w:val="zh-CN"/>
        </w:rPr>
        <w:t>”（项目编号：</w:t>
      </w:r>
      <w:r>
        <w:rPr>
          <w:rFonts w:hint="eastAsia" w:ascii="宋体" w:hAnsi="宋体" w:cs="Arial"/>
          <w:sz w:val="24"/>
          <w:szCs w:val="24"/>
          <w:u w:val="single"/>
          <w:lang w:val="zh-CN"/>
        </w:rPr>
        <w:t xml:space="preserve"> </w:t>
      </w:r>
      <w:r>
        <w:rPr>
          <w:rFonts w:ascii="宋体" w:hAnsi="宋体" w:cs="Arial"/>
          <w:sz w:val="24"/>
          <w:szCs w:val="24"/>
          <w:u w:val="single"/>
          <w:lang w:val="zh-CN"/>
        </w:rPr>
        <w:t xml:space="preserve">        </w:t>
      </w:r>
      <w:r>
        <w:rPr>
          <w:rFonts w:hint="eastAsia" w:ascii="宋体" w:hAnsi="宋体" w:cs="Arial"/>
          <w:sz w:val="24"/>
          <w:szCs w:val="24"/>
          <w:lang w:val="zh-CN"/>
        </w:rPr>
        <w:t>）的竞争性磋商文件，</w:t>
      </w:r>
      <w:r>
        <w:rPr>
          <w:rFonts w:hint="eastAsia" w:ascii="宋体" w:hAnsi="宋体"/>
          <w:sz w:val="24"/>
          <w:szCs w:val="24"/>
        </w:rPr>
        <w:t>已完全理解磋商文件</w:t>
      </w:r>
      <w:r>
        <w:rPr>
          <w:rFonts w:hint="eastAsia" w:ascii="宋体" w:hAnsi="宋体"/>
          <w:sz w:val="24"/>
        </w:rPr>
        <w:t>的所有内容</w:t>
      </w:r>
      <w:r>
        <w:rPr>
          <w:rFonts w:hint="eastAsia" w:ascii="宋体" w:hAnsi="宋体"/>
          <w:sz w:val="24"/>
          <w:szCs w:val="24"/>
        </w:rPr>
        <w:t>。决定参加该项目磋商，据此我方承诺如下：</w:t>
      </w:r>
    </w:p>
    <w:p w14:paraId="2340E352">
      <w:pPr>
        <w:numPr>
          <w:ilvl w:val="0"/>
          <w:numId w:val="4"/>
        </w:numPr>
        <w:spacing w:line="360" w:lineRule="auto"/>
        <w:ind w:left="0" w:firstLine="540" w:firstLineChars="225"/>
        <w:rPr>
          <w:rFonts w:ascii="宋体" w:hAnsi="宋体"/>
          <w:sz w:val="24"/>
          <w:szCs w:val="24"/>
        </w:rPr>
      </w:pPr>
      <w:r>
        <w:rPr>
          <w:rFonts w:hint="eastAsia" w:ascii="宋体" w:hAnsi="宋体"/>
          <w:sz w:val="24"/>
        </w:rPr>
        <w:t>我方的响应文件在提交响应文件截止之日后90天</w:t>
      </w:r>
      <w:r>
        <w:rPr>
          <w:rFonts w:hint="eastAsia" w:ascii="宋体" w:hAnsi="宋体"/>
          <w:sz w:val="24"/>
          <w:szCs w:val="24"/>
        </w:rPr>
        <w:t>（日历天）内有效，如成交，有效期将延至本项目《广州市政府采购合同》执行期满日为止。</w:t>
      </w:r>
    </w:p>
    <w:p w14:paraId="6AE02A54">
      <w:pPr>
        <w:numPr>
          <w:ilvl w:val="0"/>
          <w:numId w:val="4"/>
        </w:numPr>
        <w:spacing w:line="360" w:lineRule="auto"/>
        <w:ind w:left="0" w:firstLine="540" w:firstLineChars="225"/>
        <w:rPr>
          <w:rFonts w:ascii="宋体" w:hAnsi="宋体"/>
          <w:sz w:val="24"/>
          <w:szCs w:val="24"/>
        </w:rPr>
      </w:pPr>
      <w:r>
        <w:rPr>
          <w:rFonts w:ascii="宋体" w:hAnsi="宋体"/>
          <w:sz w:val="24"/>
          <w:szCs w:val="24"/>
        </w:rPr>
        <w:t>我方在参与</w:t>
      </w:r>
      <w:r>
        <w:rPr>
          <w:rFonts w:hint="eastAsia" w:ascii="宋体" w:hAnsi="宋体"/>
          <w:sz w:val="24"/>
          <w:szCs w:val="24"/>
        </w:rPr>
        <w:t>磋商</w:t>
      </w:r>
      <w:r>
        <w:rPr>
          <w:rFonts w:ascii="宋体" w:hAnsi="宋体"/>
          <w:sz w:val="24"/>
          <w:szCs w:val="24"/>
        </w:rPr>
        <w:t>前已仔细研究了</w:t>
      </w:r>
      <w:r>
        <w:rPr>
          <w:rFonts w:hint="eastAsia" w:ascii="宋体" w:hAnsi="宋体"/>
          <w:sz w:val="24"/>
          <w:szCs w:val="24"/>
        </w:rPr>
        <w:t>磋商</w:t>
      </w:r>
      <w:r>
        <w:rPr>
          <w:rFonts w:ascii="宋体" w:hAnsi="宋体"/>
          <w:sz w:val="24"/>
          <w:szCs w:val="24"/>
        </w:rPr>
        <w:t>文件和所有相关资料，我方完全明白并认为此</w:t>
      </w:r>
      <w:r>
        <w:rPr>
          <w:rFonts w:hint="eastAsia" w:ascii="宋体" w:hAnsi="宋体"/>
          <w:sz w:val="24"/>
          <w:szCs w:val="24"/>
        </w:rPr>
        <w:t>磋商</w:t>
      </w:r>
      <w:r>
        <w:rPr>
          <w:rFonts w:ascii="宋体" w:hAnsi="宋体"/>
          <w:sz w:val="24"/>
          <w:szCs w:val="24"/>
        </w:rPr>
        <w:t>文件没有倾向性，也没有存在排斥潜在</w:t>
      </w:r>
      <w:r>
        <w:rPr>
          <w:rFonts w:hint="eastAsia" w:ascii="宋体" w:hAnsi="宋体"/>
          <w:sz w:val="24"/>
          <w:szCs w:val="24"/>
        </w:rPr>
        <w:t>供应商</w:t>
      </w:r>
      <w:r>
        <w:rPr>
          <w:rFonts w:ascii="宋体" w:hAnsi="宋体"/>
          <w:sz w:val="24"/>
          <w:szCs w:val="24"/>
        </w:rPr>
        <w:t>的内容，我方同意</w:t>
      </w:r>
      <w:r>
        <w:rPr>
          <w:rFonts w:hint="eastAsia" w:ascii="宋体" w:hAnsi="宋体"/>
          <w:sz w:val="24"/>
          <w:szCs w:val="24"/>
        </w:rPr>
        <w:t>磋商</w:t>
      </w:r>
      <w:r>
        <w:rPr>
          <w:rFonts w:ascii="宋体" w:hAnsi="宋体"/>
          <w:sz w:val="24"/>
          <w:szCs w:val="24"/>
        </w:rPr>
        <w:t>文件的相关条款，放弃对</w:t>
      </w:r>
      <w:r>
        <w:rPr>
          <w:rFonts w:hint="eastAsia" w:ascii="宋体" w:hAnsi="宋体"/>
          <w:sz w:val="24"/>
          <w:szCs w:val="24"/>
        </w:rPr>
        <w:t>磋商</w:t>
      </w:r>
      <w:r>
        <w:rPr>
          <w:rFonts w:ascii="宋体" w:hAnsi="宋体"/>
          <w:sz w:val="24"/>
          <w:szCs w:val="24"/>
        </w:rPr>
        <w:t>文件提出误解和质疑的一切权力。</w:t>
      </w:r>
    </w:p>
    <w:p w14:paraId="1F8D4791">
      <w:pPr>
        <w:numPr>
          <w:ilvl w:val="0"/>
          <w:numId w:val="4"/>
        </w:numPr>
        <w:spacing w:line="360" w:lineRule="auto"/>
        <w:ind w:left="0" w:firstLine="540" w:firstLineChars="225"/>
        <w:rPr>
          <w:rFonts w:ascii="宋体" w:hAnsi="宋体"/>
          <w:sz w:val="24"/>
          <w:szCs w:val="24"/>
        </w:rPr>
      </w:pPr>
      <w:r>
        <w:rPr>
          <w:rFonts w:hint="eastAsia" w:ascii="宋体" w:hAnsi="宋体"/>
          <w:sz w:val="24"/>
        </w:rPr>
        <w:t>我方声明响应文件及所提供的一切资料均真实无误及有效。由于我方提供资料不实而造成的责任和后果由我方承担。我方同意按照贵方可能提出的要求，提供与报价有关的任何其它数据或信息。</w:t>
      </w:r>
    </w:p>
    <w:p w14:paraId="32CA7C7F">
      <w:pPr>
        <w:numPr>
          <w:ilvl w:val="0"/>
          <w:numId w:val="4"/>
        </w:numPr>
        <w:spacing w:line="360" w:lineRule="auto"/>
        <w:ind w:left="0" w:firstLine="540" w:firstLineChars="225"/>
        <w:rPr>
          <w:rFonts w:ascii="宋体" w:hAnsi="宋体"/>
          <w:sz w:val="24"/>
          <w:szCs w:val="24"/>
        </w:rPr>
      </w:pPr>
      <w:r>
        <w:rPr>
          <w:rFonts w:hint="eastAsia" w:ascii="宋体" w:hAnsi="宋体"/>
          <w:color w:val="FF0000"/>
          <w:sz w:val="24"/>
        </w:rPr>
        <w:t>我方接受按采购人委托向贵方支付公共资源交易服务费，如果被确定为成交供应商，保证履行响应文件中承诺的全部责任和义务，切实履行《广州市政府采购合同》中的全部条款，项目总报价已包含公共资源交易服务费（公共资源交易服务费按照竞争性磋商文件第一章竞争性磋商须知中所列收费标准计算），并承诺向贵中心足额支付。我方如果被确定为成交供应商，保证履行响应文件中承诺的全部责任和义务，切实履行《广州市政府采购合同》中的全部条款。</w:t>
      </w:r>
    </w:p>
    <w:p w14:paraId="0CFF103C">
      <w:pPr>
        <w:numPr>
          <w:ilvl w:val="0"/>
          <w:numId w:val="4"/>
        </w:numPr>
        <w:spacing w:line="360" w:lineRule="auto"/>
        <w:ind w:left="0" w:firstLine="540" w:firstLineChars="225"/>
        <w:rPr>
          <w:rFonts w:ascii="宋体" w:hAnsi="宋体"/>
          <w:sz w:val="24"/>
          <w:szCs w:val="24"/>
        </w:rPr>
      </w:pPr>
      <w:r>
        <w:rPr>
          <w:rFonts w:hint="eastAsia" w:ascii="宋体" w:hAnsi="宋体"/>
          <w:sz w:val="24"/>
          <w:szCs w:val="24"/>
        </w:rPr>
        <w:t>我方郑重声明：我方具备《中华人民共和国政府采购法》第二十二条资格条件，并在参加政府采购活动前3年内，在经营活动中没有重大违法记录。</w:t>
      </w:r>
    </w:p>
    <w:p w14:paraId="35379057">
      <w:pPr>
        <w:numPr>
          <w:ilvl w:val="0"/>
          <w:numId w:val="4"/>
        </w:numPr>
        <w:spacing w:line="360" w:lineRule="auto"/>
        <w:ind w:left="0" w:firstLine="540" w:firstLineChars="225"/>
        <w:rPr>
          <w:rFonts w:ascii="宋体" w:hAnsi="宋体"/>
          <w:sz w:val="24"/>
          <w:szCs w:val="24"/>
        </w:rPr>
      </w:pPr>
      <w:r>
        <w:rPr>
          <w:rFonts w:hint="eastAsia" w:ascii="宋体" w:hAnsi="宋体"/>
          <w:sz w:val="24"/>
        </w:rPr>
        <w:t>我方保证，采购人在中华人民共和国境内使用我方报价货物、资料、技术、服务或其任何一部分时，享有不受限制的无偿使用权，如有第三方向采购人提出侵犯其专利权、商标权或其它知识产权的主张，该责任由我方承担。我方的报价已包含所有应向所有权人支付的专利权、商标权或其它知识产权的一切相关费用。</w:t>
      </w:r>
    </w:p>
    <w:p w14:paraId="4F933292">
      <w:pPr>
        <w:numPr>
          <w:ilvl w:val="0"/>
          <w:numId w:val="4"/>
        </w:numPr>
        <w:spacing w:line="360" w:lineRule="auto"/>
        <w:ind w:left="0" w:firstLine="540" w:firstLineChars="225"/>
        <w:rPr>
          <w:rFonts w:ascii="宋体" w:hAnsi="宋体"/>
          <w:sz w:val="24"/>
          <w:szCs w:val="24"/>
        </w:rPr>
      </w:pPr>
      <w:r>
        <w:rPr>
          <w:rFonts w:hint="eastAsia" w:ascii="宋体" w:hAnsi="宋体"/>
          <w:sz w:val="24"/>
          <w:szCs w:val="24"/>
        </w:rPr>
        <w:t>所有与本项目有关的函件请发往下列地址：</w:t>
      </w:r>
    </w:p>
    <w:tbl>
      <w:tblPr>
        <w:tblStyle w:val="13"/>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2"/>
        <w:gridCol w:w="3028"/>
        <w:gridCol w:w="1436"/>
        <w:gridCol w:w="1355"/>
        <w:gridCol w:w="1678"/>
      </w:tblGrid>
      <w:tr w14:paraId="2D6E1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22" w:type="dxa"/>
          </w:tcPr>
          <w:p w14:paraId="3B6A8F75">
            <w:pPr>
              <w:tabs>
                <w:tab w:val="left" w:pos="0"/>
              </w:tabs>
              <w:spacing w:line="360" w:lineRule="auto"/>
              <w:ind w:right="25" w:rightChars="12"/>
              <w:rPr>
                <w:rFonts w:ascii="宋体" w:hAnsi="宋体"/>
                <w:sz w:val="24"/>
                <w:szCs w:val="24"/>
              </w:rPr>
            </w:pPr>
            <w:r>
              <w:rPr>
                <w:rFonts w:hint="eastAsia" w:ascii="宋体" w:hAnsi="宋体"/>
                <w:sz w:val="24"/>
                <w:szCs w:val="24"/>
              </w:rPr>
              <w:t>地    址：</w:t>
            </w:r>
          </w:p>
        </w:tc>
        <w:tc>
          <w:tcPr>
            <w:tcW w:w="4464" w:type="dxa"/>
            <w:gridSpan w:val="2"/>
          </w:tcPr>
          <w:p w14:paraId="1C7F995C">
            <w:pPr>
              <w:tabs>
                <w:tab w:val="left" w:pos="0"/>
              </w:tabs>
              <w:spacing w:line="360" w:lineRule="auto"/>
              <w:ind w:right="25" w:rightChars="12"/>
              <w:rPr>
                <w:rFonts w:ascii="宋体" w:hAnsi="宋体"/>
                <w:sz w:val="24"/>
                <w:szCs w:val="24"/>
              </w:rPr>
            </w:pPr>
          </w:p>
        </w:tc>
        <w:tc>
          <w:tcPr>
            <w:tcW w:w="1355" w:type="dxa"/>
          </w:tcPr>
          <w:p w14:paraId="10A6B26B">
            <w:pPr>
              <w:tabs>
                <w:tab w:val="left" w:pos="0"/>
              </w:tabs>
              <w:spacing w:line="360" w:lineRule="auto"/>
              <w:ind w:right="25" w:rightChars="12"/>
              <w:rPr>
                <w:rFonts w:ascii="宋体" w:hAnsi="宋体"/>
                <w:sz w:val="24"/>
                <w:szCs w:val="24"/>
              </w:rPr>
            </w:pPr>
            <w:r>
              <w:rPr>
                <w:rFonts w:hint="eastAsia" w:ascii="宋体" w:hAnsi="宋体"/>
                <w:sz w:val="24"/>
                <w:szCs w:val="24"/>
              </w:rPr>
              <w:t>邮政编码：</w:t>
            </w:r>
          </w:p>
        </w:tc>
        <w:tc>
          <w:tcPr>
            <w:tcW w:w="1678" w:type="dxa"/>
          </w:tcPr>
          <w:p w14:paraId="7C9AB8CB">
            <w:pPr>
              <w:tabs>
                <w:tab w:val="left" w:pos="0"/>
              </w:tabs>
              <w:spacing w:line="360" w:lineRule="auto"/>
              <w:ind w:right="25" w:rightChars="12"/>
              <w:rPr>
                <w:rFonts w:ascii="宋体" w:hAnsi="宋体"/>
                <w:sz w:val="24"/>
                <w:szCs w:val="24"/>
              </w:rPr>
            </w:pPr>
          </w:p>
        </w:tc>
      </w:tr>
      <w:tr w14:paraId="7AA9F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22" w:type="dxa"/>
          </w:tcPr>
          <w:p w14:paraId="7CE18B72">
            <w:pPr>
              <w:tabs>
                <w:tab w:val="left" w:pos="0"/>
              </w:tabs>
              <w:spacing w:line="360" w:lineRule="auto"/>
              <w:ind w:right="25" w:rightChars="12"/>
              <w:rPr>
                <w:rFonts w:ascii="宋体" w:hAnsi="宋体"/>
                <w:sz w:val="24"/>
                <w:szCs w:val="24"/>
              </w:rPr>
            </w:pPr>
            <w:r>
              <w:rPr>
                <w:rFonts w:hint="eastAsia" w:ascii="宋体" w:hAnsi="宋体"/>
                <w:sz w:val="24"/>
                <w:szCs w:val="24"/>
              </w:rPr>
              <w:t>电    话：</w:t>
            </w:r>
          </w:p>
        </w:tc>
        <w:tc>
          <w:tcPr>
            <w:tcW w:w="3028" w:type="dxa"/>
          </w:tcPr>
          <w:p w14:paraId="2CD9AC91">
            <w:pPr>
              <w:tabs>
                <w:tab w:val="left" w:pos="0"/>
              </w:tabs>
              <w:spacing w:line="360" w:lineRule="auto"/>
              <w:ind w:right="25" w:rightChars="12"/>
              <w:rPr>
                <w:rFonts w:ascii="宋体" w:hAnsi="宋体"/>
                <w:sz w:val="24"/>
                <w:szCs w:val="24"/>
              </w:rPr>
            </w:pPr>
          </w:p>
        </w:tc>
        <w:tc>
          <w:tcPr>
            <w:tcW w:w="1436" w:type="dxa"/>
          </w:tcPr>
          <w:p w14:paraId="3AF90269">
            <w:pPr>
              <w:tabs>
                <w:tab w:val="left" w:pos="0"/>
              </w:tabs>
              <w:spacing w:line="360" w:lineRule="auto"/>
              <w:ind w:right="25" w:rightChars="12"/>
              <w:rPr>
                <w:rFonts w:ascii="宋体" w:hAnsi="宋体"/>
                <w:sz w:val="24"/>
                <w:szCs w:val="24"/>
              </w:rPr>
            </w:pPr>
            <w:r>
              <w:rPr>
                <w:rFonts w:hint="eastAsia" w:ascii="宋体" w:hAnsi="宋体"/>
                <w:sz w:val="24"/>
                <w:szCs w:val="24"/>
              </w:rPr>
              <w:t>传    真：</w:t>
            </w:r>
          </w:p>
        </w:tc>
        <w:tc>
          <w:tcPr>
            <w:tcW w:w="3033" w:type="dxa"/>
            <w:gridSpan w:val="2"/>
          </w:tcPr>
          <w:p w14:paraId="5A72D0A8">
            <w:pPr>
              <w:tabs>
                <w:tab w:val="left" w:pos="0"/>
              </w:tabs>
              <w:spacing w:line="360" w:lineRule="auto"/>
              <w:ind w:right="25" w:rightChars="12"/>
              <w:rPr>
                <w:rFonts w:ascii="宋体" w:hAnsi="宋体"/>
                <w:sz w:val="24"/>
                <w:szCs w:val="24"/>
              </w:rPr>
            </w:pPr>
          </w:p>
        </w:tc>
      </w:tr>
      <w:tr w14:paraId="53B03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22" w:type="dxa"/>
          </w:tcPr>
          <w:p w14:paraId="6E7146C3">
            <w:pPr>
              <w:tabs>
                <w:tab w:val="left" w:pos="0"/>
              </w:tabs>
              <w:spacing w:line="360" w:lineRule="auto"/>
              <w:ind w:right="25" w:rightChars="12"/>
              <w:rPr>
                <w:rFonts w:ascii="宋体" w:hAnsi="宋体"/>
                <w:sz w:val="24"/>
                <w:szCs w:val="24"/>
              </w:rPr>
            </w:pPr>
            <w:r>
              <w:rPr>
                <w:rFonts w:hint="eastAsia" w:ascii="宋体" w:hAnsi="宋体"/>
                <w:sz w:val="24"/>
                <w:szCs w:val="24"/>
              </w:rPr>
              <w:t>联 系 人：</w:t>
            </w:r>
          </w:p>
        </w:tc>
        <w:tc>
          <w:tcPr>
            <w:tcW w:w="3028" w:type="dxa"/>
          </w:tcPr>
          <w:p w14:paraId="587234B4">
            <w:pPr>
              <w:tabs>
                <w:tab w:val="left" w:pos="0"/>
              </w:tabs>
              <w:spacing w:line="360" w:lineRule="auto"/>
              <w:ind w:right="25" w:rightChars="12"/>
              <w:rPr>
                <w:rFonts w:ascii="宋体" w:hAnsi="宋体"/>
                <w:sz w:val="24"/>
                <w:szCs w:val="24"/>
              </w:rPr>
            </w:pPr>
          </w:p>
        </w:tc>
        <w:tc>
          <w:tcPr>
            <w:tcW w:w="1436" w:type="dxa"/>
          </w:tcPr>
          <w:p w14:paraId="4EA29C25">
            <w:pPr>
              <w:tabs>
                <w:tab w:val="left" w:pos="0"/>
              </w:tabs>
              <w:spacing w:line="360" w:lineRule="auto"/>
              <w:ind w:right="25" w:rightChars="12"/>
              <w:rPr>
                <w:rFonts w:ascii="宋体" w:hAnsi="宋体"/>
                <w:sz w:val="24"/>
                <w:szCs w:val="24"/>
              </w:rPr>
            </w:pPr>
            <w:r>
              <w:rPr>
                <w:rFonts w:hint="eastAsia" w:ascii="宋体" w:hAnsi="宋体"/>
                <w:sz w:val="24"/>
                <w:szCs w:val="24"/>
              </w:rPr>
              <w:t>职    务：</w:t>
            </w:r>
          </w:p>
        </w:tc>
        <w:tc>
          <w:tcPr>
            <w:tcW w:w="3033" w:type="dxa"/>
            <w:gridSpan w:val="2"/>
          </w:tcPr>
          <w:p w14:paraId="14A13727">
            <w:pPr>
              <w:tabs>
                <w:tab w:val="left" w:pos="0"/>
              </w:tabs>
              <w:spacing w:line="360" w:lineRule="auto"/>
              <w:ind w:right="25" w:rightChars="12"/>
              <w:rPr>
                <w:rFonts w:ascii="宋体" w:hAnsi="宋体"/>
                <w:sz w:val="24"/>
                <w:szCs w:val="24"/>
              </w:rPr>
            </w:pPr>
          </w:p>
        </w:tc>
      </w:tr>
    </w:tbl>
    <w:p w14:paraId="037B69BB">
      <w:pPr>
        <w:tabs>
          <w:tab w:val="left" w:pos="-3780"/>
        </w:tabs>
        <w:spacing w:line="360" w:lineRule="auto"/>
        <w:ind w:left="5142" w:hanging="1128"/>
        <w:rPr>
          <w:rFonts w:ascii="宋体" w:hAnsi="宋体"/>
          <w:sz w:val="24"/>
          <w:szCs w:val="24"/>
        </w:rPr>
      </w:pPr>
    </w:p>
    <w:p w14:paraId="08587452">
      <w:pPr>
        <w:tabs>
          <w:tab w:val="left" w:pos="-3780"/>
        </w:tabs>
        <w:spacing w:line="360" w:lineRule="auto"/>
        <w:ind w:left="5142" w:hanging="1128"/>
        <w:rPr>
          <w:rFonts w:ascii="宋体" w:hAnsi="宋体"/>
          <w:dstrike/>
          <w:sz w:val="24"/>
          <w:szCs w:val="24"/>
        </w:rPr>
      </w:pPr>
    </w:p>
    <w:p w14:paraId="51C09ADF">
      <w:pPr>
        <w:tabs>
          <w:tab w:val="left" w:pos="-3780"/>
        </w:tabs>
        <w:spacing w:line="360" w:lineRule="auto"/>
        <w:ind w:left="5142" w:hanging="1128"/>
        <w:jc w:val="right"/>
        <w:rPr>
          <w:rFonts w:ascii="宋体" w:hAnsi="宋体"/>
          <w:sz w:val="24"/>
          <w:szCs w:val="24"/>
        </w:rPr>
      </w:pPr>
      <w:r>
        <w:rPr>
          <w:rFonts w:hint="eastAsia" w:ascii="宋体" w:hAnsi="宋体"/>
          <w:sz w:val="24"/>
          <w:szCs w:val="24"/>
        </w:rPr>
        <w:t>日期：</w:t>
      </w:r>
      <w:r>
        <w:rPr>
          <w:rFonts w:hint="eastAsia" w:ascii="宋体" w:hAnsi="宋体" w:cs="Arial"/>
          <w:sz w:val="24"/>
          <w:szCs w:val="24"/>
        </w:rPr>
        <w:t xml:space="preserve">20  </w:t>
      </w:r>
      <w:r>
        <w:rPr>
          <w:rFonts w:hint="eastAsia" w:ascii="宋体" w:hAnsi="宋体"/>
          <w:sz w:val="24"/>
          <w:szCs w:val="24"/>
        </w:rPr>
        <w:t>年   月   日</w:t>
      </w:r>
    </w:p>
    <w:p w14:paraId="20ADF518">
      <w:pPr>
        <w:tabs>
          <w:tab w:val="left" w:pos="-3780"/>
        </w:tabs>
        <w:spacing w:line="360" w:lineRule="auto"/>
        <w:ind w:left="5142" w:hanging="1128"/>
        <w:jc w:val="right"/>
        <w:rPr>
          <w:rFonts w:ascii="宋体" w:hAnsi="宋体"/>
          <w:sz w:val="24"/>
          <w:szCs w:val="24"/>
        </w:rPr>
      </w:pPr>
    </w:p>
    <w:p w14:paraId="58C6E780">
      <w:pPr>
        <w:spacing w:line="360" w:lineRule="auto"/>
        <w:jc w:val="left"/>
        <w:rPr>
          <w:rFonts w:ascii="宋体" w:hAnsi="宋体" w:cs="Arial"/>
          <w:bCs/>
          <w:sz w:val="24"/>
          <w:szCs w:val="24"/>
        </w:rPr>
      </w:pPr>
      <w:bookmarkStart w:id="44" w:name="_Toc37581429"/>
      <w:r>
        <w:rPr>
          <w:rFonts w:hint="eastAsia" w:ascii="宋体" w:hAnsi="宋体" w:cs="Arial"/>
          <w:bCs/>
          <w:sz w:val="24"/>
        </w:rPr>
        <w:t>说明：</w:t>
      </w:r>
      <w:r>
        <w:rPr>
          <w:rFonts w:ascii="宋体" w:hAnsi="宋体" w:cs="Arial"/>
          <w:bCs/>
          <w:sz w:val="24"/>
          <w:szCs w:val="24"/>
        </w:rPr>
        <w:t>本格式文件内容不得擅自删改。</w:t>
      </w:r>
      <w:bookmarkEnd w:id="44"/>
    </w:p>
    <w:p w14:paraId="7C487540"/>
    <w:p w14:paraId="419F8DFE"/>
    <w:p w14:paraId="5C55FA2A">
      <w:pPr>
        <w:sectPr>
          <w:pgSz w:w="11906" w:h="16838"/>
          <w:pgMar w:top="1440" w:right="1800" w:bottom="1440" w:left="1800" w:header="851" w:footer="992" w:gutter="0"/>
          <w:cols w:space="720" w:num="1"/>
          <w:docGrid w:type="lines" w:linePitch="312" w:charSpace="0"/>
        </w:sectPr>
      </w:pPr>
    </w:p>
    <w:p w14:paraId="4848B8DD">
      <w:pPr>
        <w:pStyle w:val="7"/>
        <w:spacing w:line="360" w:lineRule="auto"/>
        <w:ind w:firstLine="594" w:firstLineChars="200"/>
        <w:jc w:val="center"/>
        <w:rPr>
          <w:rFonts w:hAnsi="宋体" w:eastAsia="宋体"/>
          <w:b/>
          <w:sz w:val="28"/>
          <w:szCs w:val="28"/>
        </w:rPr>
      </w:pPr>
      <w:r>
        <w:rPr>
          <w:rFonts w:hint="eastAsia" w:hAnsi="宋体" w:eastAsia="宋体"/>
          <w:b/>
          <w:sz w:val="28"/>
          <w:szCs w:val="28"/>
        </w:rPr>
        <w:t>供应商资格声明函</w:t>
      </w:r>
    </w:p>
    <w:p w14:paraId="50FE952D">
      <w:pPr>
        <w:pStyle w:val="7"/>
        <w:spacing w:line="360" w:lineRule="auto"/>
        <w:ind w:firstLine="512" w:firstLineChars="200"/>
        <w:jc w:val="center"/>
        <w:rPr>
          <w:rFonts w:hAnsi="宋体"/>
          <w:b/>
        </w:rPr>
      </w:pPr>
    </w:p>
    <w:p w14:paraId="141B4C0B">
      <w:pPr>
        <w:spacing w:line="360" w:lineRule="auto"/>
        <w:ind w:right="84" w:rightChars="40"/>
        <w:rPr>
          <w:rFonts w:ascii="宋体" w:hAnsi="宋体"/>
          <w:sz w:val="24"/>
          <w:szCs w:val="24"/>
        </w:rPr>
      </w:pPr>
      <w:r>
        <w:rPr>
          <w:rFonts w:hint="eastAsia" w:ascii="宋体" w:hAnsi="宋体"/>
          <w:sz w:val="24"/>
          <w:szCs w:val="24"/>
        </w:rPr>
        <w:t>广州市政府采购中心：</w:t>
      </w:r>
    </w:p>
    <w:p w14:paraId="226B04A7">
      <w:pPr>
        <w:snapToGrid w:val="0"/>
        <w:spacing w:before="156" w:beforeLines="50" w:line="360" w:lineRule="auto"/>
        <w:ind w:firstLine="484" w:firstLineChars="202"/>
        <w:rPr>
          <w:rFonts w:ascii="宋体" w:hAnsi="宋体"/>
          <w:sz w:val="24"/>
          <w:szCs w:val="24"/>
        </w:rPr>
      </w:pPr>
      <w:r>
        <w:rPr>
          <w:rFonts w:hint="eastAsia" w:ascii="宋体" w:hAnsi="宋体"/>
          <w:sz w:val="24"/>
          <w:szCs w:val="24"/>
        </w:rPr>
        <w:t>关于贵方</w:t>
      </w:r>
      <w:r>
        <w:rPr>
          <w:rFonts w:hint="eastAsia" w:ascii="宋体" w:hAnsi="宋体"/>
          <w:sz w:val="24"/>
          <w:szCs w:val="24"/>
          <w:u w:val="single"/>
        </w:rPr>
        <w:t>　 　</w:t>
      </w:r>
      <w:r>
        <w:rPr>
          <w:rFonts w:hint="eastAsia" w:ascii="宋体" w:hAnsi="宋体"/>
          <w:sz w:val="24"/>
          <w:szCs w:val="24"/>
        </w:rPr>
        <w:t>年</w:t>
      </w:r>
      <w:r>
        <w:rPr>
          <w:rFonts w:hint="eastAsia" w:ascii="宋体" w:hAnsi="宋体"/>
          <w:sz w:val="24"/>
          <w:szCs w:val="24"/>
          <w:u w:val="single"/>
        </w:rPr>
        <w:t>　　</w:t>
      </w:r>
      <w:r>
        <w:rPr>
          <w:rFonts w:hint="eastAsia" w:ascii="宋体" w:hAnsi="宋体"/>
          <w:sz w:val="24"/>
          <w:szCs w:val="24"/>
        </w:rPr>
        <w:t>月</w:t>
      </w:r>
      <w:r>
        <w:rPr>
          <w:rFonts w:hint="eastAsia" w:ascii="宋体" w:hAnsi="宋体"/>
          <w:sz w:val="24"/>
          <w:szCs w:val="24"/>
          <w:u w:val="single"/>
        </w:rPr>
        <w:t>　　</w:t>
      </w:r>
      <w:r>
        <w:rPr>
          <w:rFonts w:hint="eastAsia" w:ascii="宋体" w:hAnsi="宋体"/>
          <w:sz w:val="24"/>
          <w:szCs w:val="24"/>
        </w:rPr>
        <w:t>日发布关于“</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”（项目编号：</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）的竞争性</w:t>
      </w:r>
      <w:r>
        <w:rPr>
          <w:rFonts w:hint="eastAsia" w:ascii="宋体" w:hAnsi="宋体" w:cs="Arial"/>
          <w:sz w:val="24"/>
          <w:szCs w:val="24"/>
          <w:lang w:val="zh-CN"/>
        </w:rPr>
        <w:t>磋商</w:t>
      </w:r>
      <w:r>
        <w:rPr>
          <w:rFonts w:hint="eastAsia" w:ascii="宋体" w:hAnsi="宋体"/>
          <w:sz w:val="24"/>
          <w:szCs w:val="24"/>
        </w:rPr>
        <w:t>公告，我方愿意参加报价，并已清楚磋商文件的要求及有关文件规定：</w:t>
      </w:r>
    </w:p>
    <w:p w14:paraId="666B7305">
      <w:pPr>
        <w:spacing w:line="360" w:lineRule="auto"/>
        <w:ind w:firstLine="424" w:firstLineChars="177"/>
        <w:rPr>
          <w:rFonts w:ascii="宋体" w:hAnsi="宋体"/>
          <w:bCs/>
          <w:sz w:val="24"/>
          <w:szCs w:val="24"/>
        </w:rPr>
      </w:pPr>
      <w:r>
        <w:rPr>
          <w:rFonts w:hint="eastAsia" w:ascii="宋体" w:hAnsi="宋体"/>
          <w:sz w:val="24"/>
          <w:szCs w:val="24"/>
        </w:rPr>
        <w:t>我方具备</w:t>
      </w:r>
      <w:r>
        <w:rPr>
          <w:rFonts w:hint="eastAsia" w:ascii="宋体" w:hAnsi="宋体"/>
          <w:bCs/>
          <w:sz w:val="24"/>
          <w:szCs w:val="24"/>
        </w:rPr>
        <w:t>《中华人民共和国政府采购法》第二十二条所规定的条件。</w:t>
      </w:r>
    </w:p>
    <w:p w14:paraId="74EC0B58">
      <w:pPr>
        <w:spacing w:line="360" w:lineRule="auto"/>
        <w:ind w:firstLine="424" w:firstLineChars="177"/>
        <w:rPr>
          <w:rFonts w:ascii="宋体" w:hAnsi="宋体"/>
          <w:sz w:val="24"/>
          <w:szCs w:val="24"/>
        </w:rPr>
      </w:pPr>
      <w:r>
        <w:rPr>
          <w:rFonts w:hint="eastAsia" w:ascii="宋体" w:hAnsi="宋体"/>
          <w:sz w:val="24"/>
          <w:szCs w:val="24"/>
        </w:rPr>
        <w:t>（一）具有独立承担民事责任的能力，提供以下相关证照的扫描件（见附件）之一：1.企业法人提供企业法人营业执照；2.事业法人提供事业法人登记证；3.其他组织提供其他组织的营业执照或执业许可证；4.自然人提供居民身份证等；</w:t>
      </w:r>
    </w:p>
    <w:p w14:paraId="639AADD4">
      <w:pPr>
        <w:spacing w:line="360" w:lineRule="auto"/>
        <w:ind w:firstLine="424" w:firstLineChars="177"/>
        <w:rPr>
          <w:rFonts w:ascii="宋体" w:hAnsi="宋体"/>
          <w:sz w:val="24"/>
          <w:szCs w:val="24"/>
        </w:rPr>
      </w:pPr>
      <w:r>
        <w:rPr>
          <w:rFonts w:hint="eastAsia" w:ascii="宋体" w:hAnsi="宋体"/>
          <w:sz w:val="24"/>
          <w:szCs w:val="24"/>
        </w:rPr>
        <w:t>（二）具有良好的商业信誉和健全的财务会计制度；</w:t>
      </w:r>
    </w:p>
    <w:p w14:paraId="3F87EDE1">
      <w:pPr>
        <w:spacing w:line="360" w:lineRule="auto"/>
        <w:ind w:firstLine="424" w:firstLineChars="177"/>
        <w:rPr>
          <w:rFonts w:ascii="宋体" w:hAnsi="宋体"/>
          <w:sz w:val="24"/>
          <w:szCs w:val="24"/>
        </w:rPr>
      </w:pPr>
      <w:r>
        <w:rPr>
          <w:rFonts w:hint="eastAsia" w:ascii="宋体" w:hAnsi="宋体"/>
          <w:sz w:val="24"/>
          <w:szCs w:val="24"/>
        </w:rPr>
        <w:t>（三）具有履行合同所必需的设备和专业技术能力；</w:t>
      </w:r>
    </w:p>
    <w:p w14:paraId="202CAC27">
      <w:pPr>
        <w:spacing w:line="360" w:lineRule="auto"/>
        <w:ind w:firstLine="424" w:firstLineChars="177"/>
        <w:rPr>
          <w:rFonts w:ascii="宋体" w:hAnsi="宋体"/>
          <w:sz w:val="24"/>
          <w:szCs w:val="24"/>
        </w:rPr>
      </w:pPr>
      <w:r>
        <w:rPr>
          <w:rFonts w:hint="eastAsia" w:ascii="宋体" w:hAnsi="宋体"/>
          <w:sz w:val="24"/>
          <w:szCs w:val="24"/>
        </w:rPr>
        <w:t>（四）有依法缴纳税收和</w:t>
      </w:r>
      <w:r>
        <w:fldChar w:fldCharType="begin"/>
      </w:r>
      <w:r>
        <w:instrText xml:space="preserve"> HYPERLINK "http://www.cfen.com.cn/shbz/shbz.htm" </w:instrText>
      </w:r>
      <w:r>
        <w:fldChar w:fldCharType="separate"/>
      </w:r>
      <w:r>
        <w:rPr>
          <w:rFonts w:hint="eastAsia" w:ascii="宋体" w:hAnsi="宋体"/>
          <w:sz w:val="24"/>
          <w:szCs w:val="24"/>
        </w:rPr>
        <w:t>社会保障</w:t>
      </w:r>
      <w:r>
        <w:rPr>
          <w:rFonts w:hint="eastAsia" w:ascii="宋体" w:hAnsi="宋体"/>
          <w:sz w:val="24"/>
          <w:szCs w:val="24"/>
        </w:rPr>
        <w:fldChar w:fldCharType="end"/>
      </w:r>
      <w:r>
        <w:rPr>
          <w:rFonts w:hint="eastAsia" w:ascii="宋体" w:hAnsi="宋体"/>
          <w:sz w:val="24"/>
          <w:szCs w:val="24"/>
        </w:rPr>
        <w:t>资金的良好记录；</w:t>
      </w:r>
    </w:p>
    <w:p w14:paraId="197FBCFB">
      <w:pPr>
        <w:spacing w:line="360" w:lineRule="auto"/>
        <w:ind w:firstLine="424" w:firstLineChars="177"/>
        <w:rPr>
          <w:rFonts w:ascii="宋体" w:hAnsi="宋体"/>
          <w:sz w:val="24"/>
          <w:szCs w:val="24"/>
        </w:rPr>
      </w:pPr>
      <w:r>
        <w:rPr>
          <w:rFonts w:hint="eastAsia" w:ascii="宋体" w:hAnsi="宋体"/>
          <w:sz w:val="24"/>
          <w:szCs w:val="24"/>
        </w:rPr>
        <w:t>（五）参加政府采购活动前三年内，在经营活动中没有重大违法记录；</w:t>
      </w:r>
    </w:p>
    <w:p w14:paraId="5C0699F2">
      <w:pPr>
        <w:spacing w:line="360" w:lineRule="auto"/>
        <w:ind w:firstLine="424" w:firstLineChars="177"/>
        <w:rPr>
          <w:rFonts w:ascii="宋体" w:hAnsi="宋体"/>
          <w:sz w:val="24"/>
          <w:szCs w:val="24"/>
        </w:rPr>
      </w:pPr>
      <w:r>
        <w:rPr>
          <w:rFonts w:hint="eastAsia" w:ascii="宋体" w:hAnsi="宋体"/>
          <w:sz w:val="24"/>
          <w:szCs w:val="24"/>
        </w:rPr>
        <w:t>（六）法律、行政法规规定的其他条件。</w:t>
      </w:r>
    </w:p>
    <w:p w14:paraId="7F2DE9C9">
      <w:pPr>
        <w:snapToGrid w:val="0"/>
        <w:spacing w:line="360" w:lineRule="auto"/>
        <w:ind w:firstLine="484" w:firstLineChars="202"/>
        <w:rPr>
          <w:rFonts w:ascii="宋体" w:hAnsi="宋体"/>
          <w:sz w:val="24"/>
          <w:szCs w:val="24"/>
        </w:rPr>
      </w:pPr>
      <w:r>
        <w:rPr>
          <w:rFonts w:hint="eastAsia" w:ascii="宋体" w:hAnsi="宋体"/>
          <w:sz w:val="24"/>
          <w:szCs w:val="24"/>
        </w:rPr>
        <w:t>本次采购活动中，如有违法、违规、弄虚作假行为，所造成的损失、不良后果及法律责任，一律由我方承担。</w:t>
      </w:r>
    </w:p>
    <w:p w14:paraId="74A62F37">
      <w:pPr>
        <w:spacing w:line="360" w:lineRule="auto"/>
        <w:ind w:firstLine="420"/>
        <w:rPr>
          <w:rFonts w:ascii="宋体" w:hAnsi="宋体"/>
          <w:b/>
          <w:sz w:val="24"/>
          <w:szCs w:val="24"/>
        </w:rPr>
      </w:pPr>
      <w:r>
        <w:rPr>
          <w:rFonts w:hint="eastAsia" w:ascii="宋体" w:hAnsi="宋体"/>
          <w:b/>
          <w:sz w:val="24"/>
          <w:szCs w:val="24"/>
        </w:rPr>
        <w:t>特此声明！</w:t>
      </w:r>
    </w:p>
    <w:p w14:paraId="49CC566D">
      <w:pPr>
        <w:spacing w:line="360" w:lineRule="auto"/>
        <w:ind w:firstLine="420"/>
        <w:rPr>
          <w:rFonts w:ascii="宋体" w:hAnsi="宋体"/>
          <w:b/>
          <w:sz w:val="24"/>
          <w:szCs w:val="24"/>
        </w:rPr>
      </w:pPr>
    </w:p>
    <w:p w14:paraId="00358BE0">
      <w:pPr>
        <w:spacing w:line="360" w:lineRule="auto"/>
        <w:jc w:val="right"/>
        <w:rPr>
          <w:rFonts w:ascii="宋体" w:hAnsi="宋体"/>
          <w:sz w:val="24"/>
          <w:szCs w:val="24"/>
        </w:rPr>
      </w:pPr>
    </w:p>
    <w:p w14:paraId="736D9519">
      <w:pPr>
        <w:spacing w:line="360" w:lineRule="auto"/>
        <w:jc w:val="right"/>
        <w:rPr>
          <w:rFonts w:ascii="宋体" w:hAnsi="宋体" w:cs="Arial"/>
          <w:sz w:val="24"/>
          <w:szCs w:val="24"/>
        </w:rPr>
      </w:pPr>
      <w:r>
        <w:rPr>
          <w:rFonts w:hint="eastAsia" w:ascii="宋体" w:hAnsi="宋体"/>
          <w:sz w:val="24"/>
          <w:szCs w:val="24"/>
        </w:rPr>
        <w:t>日期：</w:t>
      </w:r>
      <w:r>
        <w:rPr>
          <w:rFonts w:hint="eastAsia" w:ascii="宋体" w:hAnsi="宋体" w:cs="Arial"/>
          <w:sz w:val="24"/>
          <w:szCs w:val="24"/>
        </w:rPr>
        <w:t>20  年   月   日</w:t>
      </w:r>
    </w:p>
    <w:p w14:paraId="20564BD0">
      <w:pPr>
        <w:spacing w:line="360" w:lineRule="auto"/>
        <w:jc w:val="right"/>
        <w:rPr>
          <w:rFonts w:ascii="宋体" w:hAnsi="宋体" w:cs="Arial"/>
          <w:sz w:val="24"/>
          <w:szCs w:val="24"/>
        </w:rPr>
      </w:pPr>
    </w:p>
    <w:p w14:paraId="6F84E214">
      <w:pPr>
        <w:spacing w:line="360" w:lineRule="auto"/>
        <w:ind w:right="84" w:rightChars="40"/>
        <w:rPr>
          <w:rFonts w:hAnsi="宋体" w:cs="Arial"/>
          <w:bCs/>
        </w:rPr>
      </w:pPr>
      <w:r>
        <w:rPr>
          <w:rFonts w:hint="eastAsia" w:ascii="宋体" w:hAnsi="宋体" w:cs="Arial"/>
          <w:bCs/>
          <w:sz w:val="24"/>
          <w:szCs w:val="24"/>
        </w:rPr>
        <w:t>说明：1.</w:t>
      </w:r>
      <w:r>
        <w:rPr>
          <w:rFonts w:ascii="宋体" w:hAnsi="宋体" w:cs="Arial"/>
          <w:bCs/>
          <w:sz w:val="24"/>
          <w:szCs w:val="24"/>
        </w:rPr>
        <w:t>本格式文件内容不得擅自删改</w:t>
      </w:r>
      <w:r>
        <w:rPr>
          <w:rFonts w:hint="eastAsia" w:ascii="宋体" w:hAnsi="宋体" w:cs="Arial"/>
          <w:bCs/>
          <w:sz w:val="24"/>
          <w:szCs w:val="24"/>
        </w:rPr>
        <w:t>；</w:t>
      </w:r>
    </w:p>
    <w:p w14:paraId="01194D49">
      <w:pPr>
        <w:spacing w:line="360" w:lineRule="auto"/>
        <w:ind w:right="84" w:rightChars="40"/>
        <w:rPr>
          <w:rFonts w:hAnsi="宋体" w:cs="Arial"/>
          <w:bCs/>
          <w:sz w:val="24"/>
          <w:szCs w:val="24"/>
        </w:rPr>
      </w:pPr>
      <w:r>
        <w:rPr>
          <w:rFonts w:hint="eastAsia" w:hAnsi="宋体" w:cs="Arial"/>
          <w:bCs/>
          <w:sz w:val="24"/>
          <w:szCs w:val="24"/>
        </w:rPr>
        <w:t xml:space="preserve">     </w:t>
      </w:r>
      <w:r>
        <w:rPr>
          <w:rFonts w:hint="eastAsia" w:hAnsi="宋体" w:cs="Arial"/>
          <w:bCs/>
          <w:color w:val="FF0000"/>
          <w:sz w:val="24"/>
          <w:szCs w:val="24"/>
        </w:rPr>
        <w:t xml:space="preserve"> 2.</w:t>
      </w:r>
      <w:r>
        <w:rPr>
          <w:rStyle w:val="22"/>
          <w:rFonts w:hint="eastAsia"/>
          <w:color w:val="FF0000"/>
          <w:sz w:val="24"/>
        </w:rPr>
        <w:t>分支机构</w:t>
      </w:r>
      <w:r>
        <w:rPr>
          <w:rFonts w:hint="eastAsia" w:ascii="宋体" w:hAnsi="宋体" w:cs="Arial"/>
          <w:bCs/>
          <w:color w:val="FF0000"/>
          <w:sz w:val="24"/>
        </w:rPr>
        <w:t>报价的，以上《供应商资格声明函》必须由分支机构和总公司（总所）同时加盖公章或电子签章，附件由总公司（总所）提供</w:t>
      </w:r>
      <w:r>
        <w:rPr>
          <w:rFonts w:hint="eastAsia" w:hAnsi="宋体" w:cs="Arial"/>
          <w:bCs/>
          <w:color w:val="FF0000"/>
          <w:sz w:val="24"/>
          <w:szCs w:val="24"/>
        </w:rPr>
        <w:t>。</w:t>
      </w:r>
    </w:p>
    <w:p w14:paraId="76E9A580"/>
    <w:p w14:paraId="0573B69C">
      <w:pPr>
        <w:sectPr>
          <w:pgSz w:w="11906" w:h="16838"/>
          <w:pgMar w:top="1440" w:right="1800" w:bottom="1440" w:left="1800" w:header="851" w:footer="992" w:gutter="0"/>
          <w:cols w:space="425" w:num="1"/>
          <w:docGrid w:type="lines" w:linePitch="312" w:charSpace="0"/>
        </w:sectPr>
      </w:pPr>
    </w:p>
    <w:p w14:paraId="0B3869E3">
      <w:pPr>
        <w:pStyle w:val="35"/>
        <w:shd w:val="clear" w:color="auto" w:fill="FFFFFF"/>
        <w:spacing w:after="300" w:afterAutospacing="0"/>
        <w:outlineLvl w:val="2"/>
        <w:rPr>
          <w:color w:val="333333"/>
          <w:lang w:val="en"/>
        </w:rPr>
      </w:pPr>
      <w:r>
        <w:rPr>
          <w:rStyle w:val="16"/>
          <w:rFonts w:hint="eastAsia"/>
          <w:lang w:val="en"/>
        </w:rPr>
        <w:t>开标一览表</w:t>
      </w:r>
      <w:r>
        <w:rPr>
          <w:rFonts w:hint="eastAsia"/>
          <w:color w:val="333333"/>
          <w:lang w:val="en"/>
        </w:rPr>
        <w:t xml:space="preserve"> </w:t>
      </w:r>
    </w:p>
    <w:tbl>
      <w:tblPr>
        <w:tblStyle w:val="13"/>
        <w:tblW w:w="5000"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2501"/>
        <w:gridCol w:w="4168"/>
        <w:gridCol w:w="1667"/>
      </w:tblGrid>
      <w:tr w14:paraId="7CBEB63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500" w:type="pct"/>
            <w:tcBorders>
              <w:top w:val="outset" w:color="auto" w:sz="6" w:space="0"/>
              <w:left w:val="outset" w:color="auto" w:sz="6" w:space="0"/>
              <w:bottom w:val="outset" w:color="auto" w:sz="6" w:space="0"/>
              <w:right w:val="outset" w:color="auto" w:sz="6" w:space="0"/>
            </w:tcBorders>
            <w:vAlign w:val="center"/>
          </w:tcPr>
          <w:p w14:paraId="38A07B1D">
            <w:pPr>
              <w:pStyle w:val="11"/>
              <w:wordWrap w:val="0"/>
              <w:jc w:val="center"/>
              <w:rPr>
                <w:b/>
                <w:bCs/>
              </w:rPr>
            </w:pPr>
            <w:r>
              <w:rPr>
                <w:rFonts w:hint="eastAsia"/>
                <w:b/>
                <w:bCs/>
              </w:rPr>
              <w:t>分项</w:t>
            </w:r>
          </w:p>
        </w:tc>
        <w:tc>
          <w:tcPr>
            <w:tcW w:w="2500" w:type="pct"/>
            <w:tcBorders>
              <w:top w:val="outset" w:color="auto" w:sz="6" w:space="0"/>
              <w:left w:val="outset" w:color="auto" w:sz="6" w:space="0"/>
              <w:bottom w:val="outset" w:color="auto" w:sz="6" w:space="0"/>
              <w:right w:val="outset" w:color="auto" w:sz="6" w:space="0"/>
            </w:tcBorders>
            <w:vAlign w:val="center"/>
          </w:tcPr>
          <w:p w14:paraId="171AC550">
            <w:pPr>
              <w:pStyle w:val="11"/>
              <w:wordWrap w:val="0"/>
              <w:jc w:val="center"/>
              <w:rPr>
                <w:b/>
                <w:bCs/>
              </w:rPr>
            </w:pPr>
            <w:r>
              <w:rPr>
                <w:rFonts w:hint="eastAsia"/>
                <w:b/>
                <w:bCs/>
              </w:rPr>
              <w:t>分项内容</w:t>
            </w:r>
          </w:p>
        </w:tc>
        <w:tc>
          <w:tcPr>
            <w:tcW w:w="1000" w:type="pct"/>
            <w:tcBorders>
              <w:top w:val="outset" w:color="auto" w:sz="6" w:space="0"/>
              <w:left w:val="outset" w:color="auto" w:sz="6" w:space="0"/>
              <w:bottom w:val="outset" w:color="auto" w:sz="6" w:space="0"/>
              <w:right w:val="outset" w:color="auto" w:sz="6" w:space="0"/>
            </w:tcBorders>
            <w:vAlign w:val="center"/>
          </w:tcPr>
          <w:p w14:paraId="37EFCAC3">
            <w:pPr>
              <w:pStyle w:val="11"/>
              <w:wordWrap w:val="0"/>
              <w:jc w:val="center"/>
              <w:rPr>
                <w:b/>
                <w:bCs/>
              </w:rPr>
            </w:pPr>
            <w:r>
              <w:rPr>
                <w:rFonts w:hint="eastAsia"/>
                <w:b/>
                <w:bCs/>
              </w:rPr>
              <w:t>单位</w:t>
            </w:r>
          </w:p>
        </w:tc>
      </w:tr>
      <w:tr w14:paraId="237A84A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vAlign w:val="center"/>
          </w:tcPr>
          <w:p w14:paraId="65BB3323">
            <w:pPr>
              <w:pStyle w:val="11"/>
              <w:wordWrap w:val="0"/>
              <w:jc w:val="center"/>
            </w:pPr>
            <w:r>
              <w:rPr>
                <w:rFonts w:hint="eastAsia"/>
              </w:rPr>
              <w:t>总报价</w:t>
            </w:r>
          </w:p>
        </w:tc>
        <w:tc>
          <w:tcPr>
            <w:tcW w:w="0" w:type="auto"/>
            <w:tcBorders>
              <w:top w:val="outset" w:color="auto" w:sz="6" w:space="0"/>
              <w:left w:val="outset" w:color="auto" w:sz="6" w:space="0"/>
              <w:bottom w:val="outset" w:color="auto" w:sz="6" w:space="0"/>
              <w:right w:val="outset" w:color="auto" w:sz="6" w:space="0"/>
            </w:tcBorders>
            <w:vAlign w:val="center"/>
          </w:tcPr>
          <w:p w14:paraId="67CEDD30">
            <w:pPr>
              <w:wordWrap w:val="0"/>
              <w:jc w:val="center"/>
            </w:pPr>
            <w:r>
              <w:rPr>
                <w:rFonts w:hint="eastAsia"/>
              </w:rPr>
              <w:t> </w:t>
            </w:r>
          </w:p>
        </w:tc>
        <w:tc>
          <w:tcPr>
            <w:tcW w:w="0" w:type="auto"/>
            <w:tcBorders>
              <w:top w:val="outset" w:color="auto" w:sz="6" w:space="0"/>
              <w:left w:val="outset" w:color="auto" w:sz="6" w:space="0"/>
              <w:bottom w:val="outset" w:color="auto" w:sz="6" w:space="0"/>
              <w:right w:val="outset" w:color="auto" w:sz="6" w:space="0"/>
            </w:tcBorders>
            <w:vAlign w:val="center"/>
          </w:tcPr>
          <w:p w14:paraId="71803F43">
            <w:pPr>
              <w:pStyle w:val="11"/>
              <w:wordWrap w:val="0"/>
              <w:jc w:val="center"/>
            </w:pPr>
            <w:r>
              <w:rPr>
                <w:rFonts w:hint="eastAsia"/>
              </w:rPr>
              <w:t>元</w:t>
            </w:r>
          </w:p>
        </w:tc>
      </w:tr>
    </w:tbl>
    <w:p w14:paraId="1B1057D9">
      <w:pPr>
        <w:pStyle w:val="11"/>
        <w:shd w:val="clear" w:color="auto" w:fill="FFFFFF"/>
        <w:rPr>
          <w:color w:val="333333"/>
          <w:lang w:val="en"/>
        </w:rPr>
      </w:pPr>
      <w:r>
        <w:rPr>
          <w:rFonts w:hint="eastAsia"/>
          <w:color w:val="333333"/>
          <w:lang w:val="en"/>
        </w:rPr>
        <w:t>填报要求:</w:t>
      </w:r>
      <w:r>
        <w:rPr>
          <w:rFonts w:hint="eastAsia"/>
          <w:color w:val="333333"/>
          <w:lang w:val="en"/>
        </w:rPr>
        <w:br w:type="textWrapping"/>
      </w:r>
      <w:r>
        <w:rPr>
          <w:rFonts w:hint="eastAsia"/>
          <w:color w:val="333333"/>
          <w:lang w:val="en"/>
        </w:rPr>
        <w:t>1.此为首次开标一览表，项目总报价包含公共资源交易服务费等所有税费。</w:t>
      </w:r>
    </w:p>
    <w:p w14:paraId="278016E7"/>
    <w:p w14:paraId="41567188">
      <w:pPr>
        <w:sectPr>
          <w:pgSz w:w="11906" w:h="16838"/>
          <w:pgMar w:top="1440" w:right="1800" w:bottom="1440" w:left="1800" w:header="851" w:footer="992" w:gutter="0"/>
          <w:cols w:space="425" w:num="1"/>
          <w:docGrid w:type="lines" w:linePitch="312" w:charSpace="0"/>
        </w:sectPr>
      </w:pPr>
    </w:p>
    <w:p w14:paraId="50F2B6A6">
      <w:pPr>
        <w:spacing w:line="360" w:lineRule="auto"/>
        <w:jc w:val="center"/>
        <w:rPr>
          <w:rFonts w:ascii="宋体" w:hAnsi="宋体" w:cs="Arial"/>
          <w:b/>
          <w:bCs/>
          <w:kern w:val="0"/>
          <w:sz w:val="28"/>
          <w:szCs w:val="28"/>
          <w:lang w:val="zh-CN"/>
        </w:rPr>
      </w:pPr>
      <w:r>
        <w:rPr>
          <w:rFonts w:hint="eastAsia" w:ascii="宋体" w:hAnsi="宋体" w:cs="Arial"/>
          <w:b/>
          <w:bCs/>
          <w:kern w:val="0"/>
          <w:sz w:val="28"/>
          <w:szCs w:val="28"/>
          <w:lang w:val="zh-CN"/>
        </w:rPr>
        <w:t>报价明细表</w:t>
      </w:r>
    </w:p>
    <w:p w14:paraId="48232125">
      <w:pPr>
        <w:pStyle w:val="38"/>
        <w:spacing w:line="360" w:lineRule="auto"/>
        <w:jc w:val="right"/>
        <w:rPr>
          <w:rFonts w:ascii="宋体" w:hAnsi="宋体"/>
          <w:sz w:val="24"/>
        </w:rPr>
      </w:pPr>
      <w:r>
        <w:rPr>
          <w:rFonts w:hint="eastAsia" w:ascii="宋体" w:hAnsi="宋体"/>
          <w:color w:val="0000FF"/>
          <w:sz w:val="24"/>
        </w:rPr>
        <w:t xml:space="preserve">                                           </w:t>
      </w:r>
      <w:r>
        <w:rPr>
          <w:rFonts w:hint="eastAsia" w:ascii="宋体" w:hAnsi="宋体"/>
          <w:b/>
          <w:color w:val="FF0000"/>
          <w:sz w:val="24"/>
        </w:rPr>
        <w:t xml:space="preserve"> </w:t>
      </w:r>
      <w:r>
        <w:rPr>
          <w:rFonts w:hint="eastAsia" w:ascii="宋体" w:hAnsi="宋体"/>
          <w:sz w:val="24"/>
        </w:rPr>
        <w:t>[货币单位：人民币元]</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30" w:type="dxa"/>
          <w:bottom w:w="0" w:type="dxa"/>
          <w:right w:w="30" w:type="dxa"/>
        </w:tblCellMar>
      </w:tblPr>
      <w:tblGrid>
        <w:gridCol w:w="764"/>
        <w:gridCol w:w="2704"/>
        <w:gridCol w:w="2450"/>
        <w:gridCol w:w="2448"/>
      </w:tblGrid>
      <w:tr w14:paraId="0AFDD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06" w:hRule="atLeast"/>
          <w:jc w:val="center"/>
        </w:trPr>
        <w:tc>
          <w:tcPr>
            <w:tcW w:w="457" w:type="pct"/>
            <w:tcBorders>
              <w:top w:val="single" w:color="auto" w:sz="4" w:space="0"/>
              <w:left w:val="single" w:color="auto" w:sz="4" w:space="0"/>
              <w:bottom w:val="single" w:color="auto" w:sz="4" w:space="0"/>
              <w:right w:val="single" w:color="auto" w:sz="4" w:space="0"/>
            </w:tcBorders>
            <w:vAlign w:val="center"/>
          </w:tcPr>
          <w:p w14:paraId="345B503C">
            <w:pPr>
              <w:pStyle w:val="38"/>
              <w:autoSpaceDE w:val="0"/>
              <w:autoSpaceDN w:val="0"/>
              <w:adjustRightInd w:val="0"/>
              <w:spacing w:line="360" w:lineRule="auto"/>
              <w:jc w:val="center"/>
              <w:rPr>
                <w:rFonts w:ascii="宋体" w:hAnsi="宋体"/>
                <w:sz w:val="24"/>
              </w:rPr>
            </w:pPr>
            <w:r>
              <w:rPr>
                <w:rFonts w:hint="eastAsia" w:ascii="宋体" w:hAnsi="宋体"/>
                <w:sz w:val="24"/>
              </w:rPr>
              <w:t>序号</w:t>
            </w:r>
          </w:p>
        </w:tc>
        <w:tc>
          <w:tcPr>
            <w:tcW w:w="1616" w:type="pct"/>
            <w:tcBorders>
              <w:top w:val="single" w:color="auto" w:sz="4" w:space="0"/>
              <w:left w:val="single" w:color="auto" w:sz="4" w:space="0"/>
              <w:bottom w:val="single" w:color="auto" w:sz="4" w:space="0"/>
              <w:right w:val="single" w:color="auto" w:sz="4" w:space="0"/>
            </w:tcBorders>
            <w:vAlign w:val="center"/>
          </w:tcPr>
          <w:p w14:paraId="166F5788">
            <w:pPr>
              <w:pStyle w:val="38"/>
              <w:autoSpaceDE w:val="0"/>
              <w:autoSpaceDN w:val="0"/>
              <w:adjustRightInd w:val="0"/>
              <w:spacing w:line="360" w:lineRule="auto"/>
              <w:jc w:val="center"/>
              <w:rPr>
                <w:rFonts w:ascii="宋体" w:hAnsi="宋体"/>
                <w:sz w:val="24"/>
              </w:rPr>
            </w:pPr>
            <w:r>
              <w:rPr>
                <w:rFonts w:hint="eastAsia" w:ascii="宋体" w:hAnsi="宋体"/>
                <w:sz w:val="24"/>
              </w:rPr>
              <w:t>内容</w:t>
            </w:r>
          </w:p>
        </w:tc>
        <w:tc>
          <w:tcPr>
            <w:tcW w:w="1464" w:type="pct"/>
            <w:tcBorders>
              <w:top w:val="single" w:color="auto" w:sz="4" w:space="0"/>
              <w:left w:val="single" w:color="auto" w:sz="4" w:space="0"/>
              <w:bottom w:val="single" w:color="auto" w:sz="4" w:space="0"/>
              <w:right w:val="single" w:color="auto" w:sz="4" w:space="0"/>
            </w:tcBorders>
            <w:vAlign w:val="center"/>
          </w:tcPr>
          <w:p w14:paraId="0D2FF39E">
            <w:pPr>
              <w:pStyle w:val="38"/>
              <w:autoSpaceDE w:val="0"/>
              <w:autoSpaceDN w:val="0"/>
              <w:adjustRightInd w:val="0"/>
              <w:spacing w:line="360" w:lineRule="auto"/>
              <w:jc w:val="center"/>
              <w:rPr>
                <w:rFonts w:ascii="宋体" w:hAnsi="宋体"/>
                <w:sz w:val="24"/>
              </w:rPr>
            </w:pPr>
            <w:r>
              <w:rPr>
                <w:rFonts w:hint="eastAsia" w:ascii="宋体" w:hAnsi="宋体"/>
                <w:sz w:val="24"/>
              </w:rPr>
              <w:t>报价（每月）</w:t>
            </w:r>
          </w:p>
        </w:tc>
        <w:tc>
          <w:tcPr>
            <w:tcW w:w="1463" w:type="pct"/>
            <w:tcBorders>
              <w:top w:val="single" w:color="auto" w:sz="4" w:space="0"/>
              <w:left w:val="single" w:color="auto" w:sz="4" w:space="0"/>
              <w:bottom w:val="single" w:color="auto" w:sz="4" w:space="0"/>
              <w:right w:val="single" w:color="auto" w:sz="4" w:space="0"/>
            </w:tcBorders>
            <w:vAlign w:val="center"/>
          </w:tcPr>
          <w:p w14:paraId="01384ED6">
            <w:pPr>
              <w:pStyle w:val="38"/>
              <w:autoSpaceDE w:val="0"/>
              <w:autoSpaceDN w:val="0"/>
              <w:adjustRightInd w:val="0"/>
              <w:spacing w:line="360" w:lineRule="auto"/>
              <w:jc w:val="center"/>
              <w:rPr>
                <w:rFonts w:ascii="宋体" w:hAnsi="宋体"/>
                <w:sz w:val="24"/>
              </w:rPr>
            </w:pPr>
            <w:r>
              <w:rPr>
                <w:rFonts w:hint="eastAsia" w:ascii="宋体" w:hAnsi="宋体"/>
                <w:sz w:val="24"/>
              </w:rPr>
              <w:t>备注</w:t>
            </w:r>
          </w:p>
        </w:tc>
      </w:tr>
      <w:tr w14:paraId="561C3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57" w:hRule="atLeast"/>
          <w:jc w:val="center"/>
        </w:trPr>
        <w:tc>
          <w:tcPr>
            <w:tcW w:w="457" w:type="pct"/>
            <w:tcBorders>
              <w:top w:val="single" w:color="auto" w:sz="4" w:space="0"/>
              <w:left w:val="single" w:color="auto" w:sz="4" w:space="0"/>
              <w:bottom w:val="single" w:color="auto" w:sz="4" w:space="0"/>
              <w:right w:val="single" w:color="auto" w:sz="4" w:space="0"/>
            </w:tcBorders>
            <w:vAlign w:val="center"/>
          </w:tcPr>
          <w:p w14:paraId="6A6C1894">
            <w:pPr>
              <w:pStyle w:val="38"/>
              <w:autoSpaceDE w:val="0"/>
              <w:autoSpaceDN w:val="0"/>
              <w:adjustRightInd w:val="0"/>
              <w:spacing w:line="360" w:lineRule="auto"/>
              <w:jc w:val="center"/>
              <w:rPr>
                <w:rFonts w:ascii="宋体" w:hAnsi="宋体"/>
                <w:sz w:val="24"/>
              </w:rPr>
            </w:pPr>
            <w:r>
              <w:rPr>
                <w:rFonts w:hint="eastAsia" w:ascii="宋体" w:hAnsi="宋体"/>
                <w:sz w:val="24"/>
              </w:rPr>
              <w:t>1</w:t>
            </w:r>
          </w:p>
        </w:tc>
        <w:tc>
          <w:tcPr>
            <w:tcW w:w="1616" w:type="pct"/>
            <w:tcBorders>
              <w:top w:val="single" w:color="auto" w:sz="4" w:space="0"/>
              <w:left w:val="single" w:color="auto" w:sz="4" w:space="0"/>
              <w:bottom w:val="single" w:color="auto" w:sz="4" w:space="0"/>
              <w:right w:val="single" w:color="auto" w:sz="4" w:space="0"/>
            </w:tcBorders>
            <w:vAlign w:val="center"/>
          </w:tcPr>
          <w:p w14:paraId="74151FA3">
            <w:pPr>
              <w:pStyle w:val="38"/>
              <w:autoSpaceDE w:val="0"/>
              <w:autoSpaceDN w:val="0"/>
              <w:adjustRightInd w:val="0"/>
              <w:spacing w:line="360" w:lineRule="auto"/>
              <w:jc w:val="center"/>
              <w:rPr>
                <w:rFonts w:ascii="宋体" w:hAnsi="宋体"/>
                <w:sz w:val="24"/>
              </w:rPr>
            </w:pPr>
            <w:r>
              <w:rPr>
                <w:rFonts w:hint="eastAsia" w:ascii="宋体" w:hAnsi="宋体"/>
                <w:sz w:val="24"/>
              </w:rPr>
              <w:t>人员费用（不含加班补贴）</w:t>
            </w:r>
          </w:p>
        </w:tc>
        <w:tc>
          <w:tcPr>
            <w:tcW w:w="1464" w:type="pct"/>
            <w:tcBorders>
              <w:top w:val="single" w:color="auto" w:sz="4" w:space="0"/>
              <w:left w:val="single" w:color="auto" w:sz="4" w:space="0"/>
              <w:bottom w:val="single" w:color="auto" w:sz="4" w:space="0"/>
              <w:right w:val="single" w:color="auto" w:sz="4" w:space="0"/>
            </w:tcBorders>
            <w:vAlign w:val="center"/>
          </w:tcPr>
          <w:p w14:paraId="3C7BAD11">
            <w:pPr>
              <w:pStyle w:val="38"/>
              <w:autoSpaceDE w:val="0"/>
              <w:autoSpaceDN w:val="0"/>
              <w:adjustRightInd w:val="0"/>
              <w:spacing w:line="360" w:lineRule="auto"/>
              <w:jc w:val="center"/>
              <w:rPr>
                <w:rFonts w:ascii="宋体" w:hAnsi="宋体"/>
                <w:sz w:val="24"/>
              </w:rPr>
            </w:pPr>
          </w:p>
        </w:tc>
        <w:tc>
          <w:tcPr>
            <w:tcW w:w="1463" w:type="pct"/>
            <w:tcBorders>
              <w:top w:val="single" w:color="auto" w:sz="4" w:space="0"/>
              <w:left w:val="single" w:color="auto" w:sz="4" w:space="0"/>
              <w:bottom w:val="single" w:color="auto" w:sz="4" w:space="0"/>
              <w:right w:val="single" w:color="auto" w:sz="4" w:space="0"/>
            </w:tcBorders>
            <w:vAlign w:val="center"/>
          </w:tcPr>
          <w:p w14:paraId="259292A3">
            <w:pPr>
              <w:pStyle w:val="38"/>
              <w:autoSpaceDE w:val="0"/>
              <w:autoSpaceDN w:val="0"/>
              <w:adjustRightInd w:val="0"/>
              <w:spacing w:line="360" w:lineRule="auto"/>
              <w:jc w:val="center"/>
              <w:rPr>
                <w:rFonts w:ascii="宋体" w:hAnsi="宋体"/>
                <w:sz w:val="24"/>
              </w:rPr>
            </w:pPr>
            <w:r>
              <w:rPr>
                <w:rFonts w:hint="eastAsia" w:ascii="宋体" w:hAnsi="宋体"/>
                <w:sz w:val="24"/>
              </w:rPr>
              <w:t>报价明细见《配置服务人员费用报价明细表》</w:t>
            </w:r>
          </w:p>
        </w:tc>
      </w:tr>
      <w:tr w14:paraId="08D10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19" w:hRule="atLeast"/>
          <w:jc w:val="center"/>
        </w:trPr>
        <w:tc>
          <w:tcPr>
            <w:tcW w:w="457" w:type="pct"/>
            <w:tcBorders>
              <w:top w:val="single" w:color="auto" w:sz="4" w:space="0"/>
              <w:left w:val="single" w:color="auto" w:sz="4" w:space="0"/>
              <w:bottom w:val="single" w:color="auto" w:sz="4" w:space="0"/>
              <w:right w:val="single" w:color="auto" w:sz="4" w:space="0"/>
            </w:tcBorders>
            <w:vAlign w:val="center"/>
          </w:tcPr>
          <w:p w14:paraId="5ECEE1D6">
            <w:pPr>
              <w:pStyle w:val="38"/>
              <w:autoSpaceDE w:val="0"/>
              <w:autoSpaceDN w:val="0"/>
              <w:adjustRightInd w:val="0"/>
              <w:spacing w:line="360" w:lineRule="auto"/>
              <w:jc w:val="center"/>
              <w:rPr>
                <w:rFonts w:ascii="宋体" w:hAnsi="宋体"/>
                <w:sz w:val="24"/>
              </w:rPr>
            </w:pPr>
            <w:r>
              <w:rPr>
                <w:rFonts w:hint="eastAsia" w:ascii="宋体" w:hAnsi="宋体"/>
                <w:sz w:val="24"/>
              </w:rPr>
              <w:t>2</w:t>
            </w:r>
          </w:p>
        </w:tc>
        <w:tc>
          <w:tcPr>
            <w:tcW w:w="1616" w:type="pct"/>
            <w:tcBorders>
              <w:top w:val="single" w:color="auto" w:sz="4" w:space="0"/>
              <w:left w:val="single" w:color="auto" w:sz="4" w:space="0"/>
              <w:bottom w:val="single" w:color="auto" w:sz="4" w:space="0"/>
              <w:right w:val="single" w:color="auto" w:sz="4" w:space="0"/>
            </w:tcBorders>
            <w:vAlign w:val="center"/>
          </w:tcPr>
          <w:p w14:paraId="22B103F6">
            <w:pPr>
              <w:pStyle w:val="38"/>
              <w:autoSpaceDE w:val="0"/>
              <w:autoSpaceDN w:val="0"/>
              <w:adjustRightInd w:val="0"/>
              <w:spacing w:line="360" w:lineRule="auto"/>
              <w:jc w:val="center"/>
              <w:rPr>
                <w:rFonts w:ascii="宋体" w:hAnsi="宋体"/>
                <w:sz w:val="24"/>
              </w:rPr>
            </w:pPr>
            <w:r>
              <w:rPr>
                <w:rFonts w:hint="eastAsia" w:ascii="宋体" w:hAnsi="宋体"/>
                <w:sz w:val="24"/>
              </w:rPr>
              <w:t>…</w:t>
            </w:r>
          </w:p>
        </w:tc>
        <w:tc>
          <w:tcPr>
            <w:tcW w:w="1464" w:type="pct"/>
            <w:tcBorders>
              <w:top w:val="single" w:color="auto" w:sz="4" w:space="0"/>
              <w:left w:val="single" w:color="auto" w:sz="4" w:space="0"/>
              <w:bottom w:val="single" w:color="auto" w:sz="4" w:space="0"/>
              <w:right w:val="single" w:color="auto" w:sz="4" w:space="0"/>
            </w:tcBorders>
            <w:vAlign w:val="center"/>
          </w:tcPr>
          <w:p w14:paraId="290FD40F">
            <w:pPr>
              <w:pStyle w:val="38"/>
              <w:autoSpaceDE w:val="0"/>
              <w:autoSpaceDN w:val="0"/>
              <w:adjustRightInd w:val="0"/>
              <w:spacing w:line="360" w:lineRule="auto"/>
              <w:jc w:val="center"/>
              <w:rPr>
                <w:rFonts w:ascii="宋体" w:hAnsi="宋体"/>
                <w:sz w:val="24"/>
              </w:rPr>
            </w:pPr>
          </w:p>
        </w:tc>
        <w:tc>
          <w:tcPr>
            <w:tcW w:w="1463" w:type="pct"/>
            <w:tcBorders>
              <w:top w:val="single" w:color="auto" w:sz="4" w:space="0"/>
              <w:left w:val="single" w:color="auto" w:sz="4" w:space="0"/>
              <w:bottom w:val="single" w:color="auto" w:sz="4" w:space="0"/>
              <w:right w:val="single" w:color="auto" w:sz="4" w:space="0"/>
            </w:tcBorders>
            <w:vAlign w:val="center"/>
          </w:tcPr>
          <w:p w14:paraId="33B48869">
            <w:pPr>
              <w:pStyle w:val="38"/>
              <w:autoSpaceDE w:val="0"/>
              <w:autoSpaceDN w:val="0"/>
              <w:adjustRightInd w:val="0"/>
              <w:spacing w:line="360" w:lineRule="auto"/>
              <w:jc w:val="center"/>
              <w:rPr>
                <w:rFonts w:ascii="宋体" w:hAnsi="宋体"/>
                <w:sz w:val="24"/>
              </w:rPr>
            </w:pPr>
          </w:p>
        </w:tc>
      </w:tr>
      <w:tr w14:paraId="7F544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19" w:hRule="atLeast"/>
          <w:jc w:val="center"/>
        </w:trPr>
        <w:tc>
          <w:tcPr>
            <w:tcW w:w="457" w:type="pct"/>
            <w:tcBorders>
              <w:top w:val="single" w:color="auto" w:sz="4" w:space="0"/>
              <w:left w:val="single" w:color="auto" w:sz="4" w:space="0"/>
              <w:bottom w:val="single" w:color="auto" w:sz="4" w:space="0"/>
              <w:right w:val="single" w:color="auto" w:sz="4" w:space="0"/>
            </w:tcBorders>
            <w:vAlign w:val="center"/>
          </w:tcPr>
          <w:p w14:paraId="00B67C58">
            <w:pPr>
              <w:pStyle w:val="38"/>
              <w:autoSpaceDE w:val="0"/>
              <w:autoSpaceDN w:val="0"/>
              <w:adjustRightInd w:val="0"/>
              <w:spacing w:line="360" w:lineRule="auto"/>
              <w:jc w:val="center"/>
              <w:rPr>
                <w:rFonts w:ascii="宋体" w:hAnsi="宋体"/>
                <w:sz w:val="24"/>
              </w:rPr>
            </w:pPr>
            <w:r>
              <w:rPr>
                <w:rFonts w:hint="eastAsia" w:ascii="宋体" w:hAnsi="宋体"/>
                <w:sz w:val="24"/>
              </w:rPr>
              <w:t>…</w:t>
            </w:r>
          </w:p>
        </w:tc>
        <w:tc>
          <w:tcPr>
            <w:tcW w:w="1616" w:type="pct"/>
            <w:tcBorders>
              <w:top w:val="single" w:color="auto" w:sz="4" w:space="0"/>
              <w:left w:val="single" w:color="auto" w:sz="4" w:space="0"/>
              <w:bottom w:val="single" w:color="auto" w:sz="4" w:space="0"/>
              <w:right w:val="single" w:color="auto" w:sz="4" w:space="0"/>
            </w:tcBorders>
            <w:vAlign w:val="center"/>
          </w:tcPr>
          <w:p w14:paraId="7E8B4E6C">
            <w:pPr>
              <w:pStyle w:val="38"/>
              <w:autoSpaceDE w:val="0"/>
              <w:autoSpaceDN w:val="0"/>
              <w:adjustRightInd w:val="0"/>
              <w:spacing w:line="360" w:lineRule="auto"/>
              <w:jc w:val="center"/>
              <w:rPr>
                <w:rFonts w:ascii="宋体" w:hAnsi="宋体"/>
                <w:sz w:val="24"/>
              </w:rPr>
            </w:pPr>
            <w:r>
              <w:rPr>
                <w:rFonts w:hint="eastAsia" w:ascii="宋体" w:hAnsi="宋体"/>
                <w:sz w:val="24"/>
              </w:rPr>
              <w:t>…</w:t>
            </w:r>
          </w:p>
        </w:tc>
        <w:tc>
          <w:tcPr>
            <w:tcW w:w="1464" w:type="pct"/>
            <w:tcBorders>
              <w:top w:val="single" w:color="auto" w:sz="4" w:space="0"/>
              <w:left w:val="single" w:color="auto" w:sz="4" w:space="0"/>
              <w:bottom w:val="single" w:color="auto" w:sz="4" w:space="0"/>
              <w:right w:val="single" w:color="auto" w:sz="4" w:space="0"/>
            </w:tcBorders>
            <w:vAlign w:val="center"/>
          </w:tcPr>
          <w:p w14:paraId="1C43AFE6">
            <w:pPr>
              <w:pStyle w:val="38"/>
              <w:autoSpaceDE w:val="0"/>
              <w:autoSpaceDN w:val="0"/>
              <w:adjustRightInd w:val="0"/>
              <w:spacing w:line="360" w:lineRule="auto"/>
              <w:jc w:val="center"/>
              <w:rPr>
                <w:rFonts w:ascii="宋体" w:hAnsi="宋体"/>
                <w:sz w:val="24"/>
              </w:rPr>
            </w:pPr>
          </w:p>
        </w:tc>
        <w:tc>
          <w:tcPr>
            <w:tcW w:w="1463" w:type="pct"/>
            <w:tcBorders>
              <w:top w:val="single" w:color="auto" w:sz="4" w:space="0"/>
              <w:left w:val="single" w:color="auto" w:sz="4" w:space="0"/>
              <w:bottom w:val="single" w:color="auto" w:sz="4" w:space="0"/>
              <w:right w:val="single" w:color="auto" w:sz="4" w:space="0"/>
            </w:tcBorders>
            <w:vAlign w:val="center"/>
          </w:tcPr>
          <w:p w14:paraId="5B89BAB9">
            <w:pPr>
              <w:pStyle w:val="38"/>
              <w:autoSpaceDE w:val="0"/>
              <w:autoSpaceDN w:val="0"/>
              <w:adjustRightInd w:val="0"/>
              <w:spacing w:line="360" w:lineRule="auto"/>
              <w:jc w:val="center"/>
              <w:rPr>
                <w:rFonts w:ascii="宋体" w:hAnsi="宋体"/>
                <w:sz w:val="24"/>
              </w:rPr>
            </w:pPr>
          </w:p>
        </w:tc>
      </w:tr>
      <w:tr w14:paraId="31DEC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19" w:hRule="atLeast"/>
          <w:jc w:val="center"/>
        </w:trPr>
        <w:tc>
          <w:tcPr>
            <w:tcW w:w="457" w:type="pct"/>
            <w:tcBorders>
              <w:top w:val="single" w:color="auto" w:sz="4" w:space="0"/>
              <w:left w:val="single" w:color="auto" w:sz="4" w:space="0"/>
              <w:bottom w:val="single" w:color="auto" w:sz="4" w:space="0"/>
              <w:right w:val="single" w:color="auto" w:sz="4" w:space="0"/>
            </w:tcBorders>
            <w:vAlign w:val="center"/>
          </w:tcPr>
          <w:p w14:paraId="601527D1">
            <w:pPr>
              <w:pStyle w:val="38"/>
              <w:autoSpaceDE w:val="0"/>
              <w:autoSpaceDN w:val="0"/>
              <w:adjustRightInd w:val="0"/>
              <w:spacing w:line="360" w:lineRule="auto"/>
              <w:jc w:val="center"/>
              <w:rPr>
                <w:rFonts w:ascii="宋体" w:hAnsi="宋体"/>
                <w:sz w:val="24"/>
              </w:rPr>
            </w:pPr>
          </w:p>
        </w:tc>
        <w:tc>
          <w:tcPr>
            <w:tcW w:w="1616" w:type="pct"/>
            <w:tcBorders>
              <w:top w:val="single" w:color="auto" w:sz="4" w:space="0"/>
              <w:left w:val="single" w:color="auto" w:sz="4" w:space="0"/>
              <w:bottom w:val="single" w:color="auto" w:sz="4" w:space="0"/>
              <w:right w:val="single" w:color="auto" w:sz="4" w:space="0"/>
            </w:tcBorders>
            <w:vAlign w:val="center"/>
          </w:tcPr>
          <w:p w14:paraId="0C9D79B2">
            <w:pPr>
              <w:pStyle w:val="38"/>
              <w:autoSpaceDE w:val="0"/>
              <w:autoSpaceDN w:val="0"/>
              <w:adjustRightInd w:val="0"/>
              <w:spacing w:line="360" w:lineRule="auto"/>
              <w:jc w:val="center"/>
              <w:rPr>
                <w:rFonts w:ascii="宋体" w:hAnsi="宋体"/>
                <w:sz w:val="24"/>
              </w:rPr>
            </w:pPr>
          </w:p>
        </w:tc>
        <w:tc>
          <w:tcPr>
            <w:tcW w:w="1464" w:type="pct"/>
            <w:tcBorders>
              <w:top w:val="single" w:color="auto" w:sz="4" w:space="0"/>
              <w:left w:val="single" w:color="auto" w:sz="4" w:space="0"/>
              <w:bottom w:val="single" w:color="auto" w:sz="4" w:space="0"/>
              <w:right w:val="single" w:color="auto" w:sz="4" w:space="0"/>
            </w:tcBorders>
            <w:vAlign w:val="center"/>
          </w:tcPr>
          <w:p w14:paraId="30FA0F21">
            <w:pPr>
              <w:pStyle w:val="38"/>
              <w:autoSpaceDE w:val="0"/>
              <w:autoSpaceDN w:val="0"/>
              <w:adjustRightInd w:val="0"/>
              <w:spacing w:line="360" w:lineRule="auto"/>
              <w:jc w:val="center"/>
              <w:rPr>
                <w:rFonts w:ascii="宋体" w:hAnsi="宋体"/>
                <w:sz w:val="24"/>
              </w:rPr>
            </w:pPr>
          </w:p>
        </w:tc>
        <w:tc>
          <w:tcPr>
            <w:tcW w:w="1463" w:type="pct"/>
            <w:tcBorders>
              <w:top w:val="single" w:color="auto" w:sz="4" w:space="0"/>
              <w:left w:val="single" w:color="auto" w:sz="4" w:space="0"/>
              <w:bottom w:val="single" w:color="auto" w:sz="4" w:space="0"/>
              <w:right w:val="single" w:color="auto" w:sz="4" w:space="0"/>
            </w:tcBorders>
            <w:vAlign w:val="center"/>
          </w:tcPr>
          <w:p w14:paraId="45DC2223">
            <w:pPr>
              <w:pStyle w:val="38"/>
              <w:autoSpaceDE w:val="0"/>
              <w:autoSpaceDN w:val="0"/>
              <w:adjustRightInd w:val="0"/>
              <w:spacing w:line="360" w:lineRule="auto"/>
              <w:jc w:val="center"/>
              <w:rPr>
                <w:rFonts w:ascii="宋体" w:hAnsi="宋体"/>
                <w:sz w:val="24"/>
              </w:rPr>
            </w:pPr>
          </w:p>
        </w:tc>
      </w:tr>
      <w:tr w14:paraId="0863A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19" w:hRule="atLeast"/>
          <w:jc w:val="center"/>
        </w:trPr>
        <w:tc>
          <w:tcPr>
            <w:tcW w:w="2073" w:type="pct"/>
            <w:gridSpan w:val="2"/>
            <w:tcBorders>
              <w:top w:val="single" w:color="auto" w:sz="4" w:space="0"/>
              <w:left w:val="single" w:color="auto" w:sz="4" w:space="0"/>
              <w:bottom w:val="single" w:color="auto" w:sz="4" w:space="0"/>
              <w:right w:val="single" w:color="auto" w:sz="4" w:space="0"/>
            </w:tcBorders>
            <w:vAlign w:val="center"/>
          </w:tcPr>
          <w:p w14:paraId="23129B74">
            <w:pPr>
              <w:pStyle w:val="38"/>
              <w:autoSpaceDE w:val="0"/>
              <w:autoSpaceDN w:val="0"/>
              <w:adjustRightInd w:val="0"/>
              <w:spacing w:line="360" w:lineRule="auto"/>
              <w:jc w:val="center"/>
              <w:rPr>
                <w:rFonts w:ascii="宋体" w:hAnsi="宋体"/>
                <w:sz w:val="24"/>
              </w:rPr>
            </w:pPr>
            <w:r>
              <w:rPr>
                <w:rFonts w:hint="eastAsia" w:ascii="宋体" w:hAnsi="宋体"/>
                <w:sz w:val="24"/>
              </w:rPr>
              <w:t>每月小计</w:t>
            </w:r>
          </w:p>
        </w:tc>
        <w:tc>
          <w:tcPr>
            <w:tcW w:w="1464" w:type="pct"/>
            <w:tcBorders>
              <w:top w:val="single" w:color="auto" w:sz="4" w:space="0"/>
              <w:left w:val="single" w:color="auto" w:sz="4" w:space="0"/>
              <w:bottom w:val="single" w:color="auto" w:sz="4" w:space="0"/>
              <w:right w:val="single" w:color="auto" w:sz="4" w:space="0"/>
            </w:tcBorders>
            <w:vAlign w:val="center"/>
          </w:tcPr>
          <w:p w14:paraId="7BED3BB6">
            <w:pPr>
              <w:pStyle w:val="38"/>
              <w:autoSpaceDE w:val="0"/>
              <w:autoSpaceDN w:val="0"/>
              <w:adjustRightInd w:val="0"/>
              <w:spacing w:line="360" w:lineRule="auto"/>
              <w:jc w:val="center"/>
              <w:rPr>
                <w:rFonts w:ascii="宋体" w:hAnsi="宋体"/>
                <w:sz w:val="24"/>
              </w:rPr>
            </w:pPr>
          </w:p>
        </w:tc>
        <w:tc>
          <w:tcPr>
            <w:tcW w:w="1463" w:type="pct"/>
            <w:tcBorders>
              <w:top w:val="single" w:color="auto" w:sz="4" w:space="0"/>
              <w:left w:val="single" w:color="auto" w:sz="4" w:space="0"/>
              <w:bottom w:val="single" w:color="auto" w:sz="4" w:space="0"/>
              <w:right w:val="single" w:color="auto" w:sz="4" w:space="0"/>
            </w:tcBorders>
            <w:vAlign w:val="center"/>
          </w:tcPr>
          <w:p w14:paraId="3CAA7DD5">
            <w:pPr>
              <w:pStyle w:val="38"/>
              <w:autoSpaceDE w:val="0"/>
              <w:autoSpaceDN w:val="0"/>
              <w:adjustRightInd w:val="0"/>
              <w:spacing w:line="360" w:lineRule="auto"/>
              <w:jc w:val="center"/>
              <w:rPr>
                <w:rFonts w:ascii="宋体" w:hAnsi="宋体"/>
                <w:sz w:val="24"/>
              </w:rPr>
            </w:pPr>
          </w:p>
        </w:tc>
      </w:tr>
      <w:tr w14:paraId="1348E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19" w:hRule="atLeast"/>
          <w:jc w:val="center"/>
        </w:trPr>
        <w:tc>
          <w:tcPr>
            <w:tcW w:w="2073" w:type="pct"/>
            <w:gridSpan w:val="2"/>
            <w:tcBorders>
              <w:top w:val="single" w:color="auto" w:sz="4" w:space="0"/>
              <w:left w:val="single" w:color="auto" w:sz="4" w:space="0"/>
              <w:bottom w:val="single" w:color="auto" w:sz="4" w:space="0"/>
              <w:right w:val="single" w:color="auto" w:sz="4" w:space="0"/>
            </w:tcBorders>
            <w:vAlign w:val="center"/>
          </w:tcPr>
          <w:p w14:paraId="01980C78">
            <w:pPr>
              <w:pStyle w:val="38"/>
              <w:autoSpaceDE w:val="0"/>
              <w:autoSpaceDN w:val="0"/>
              <w:adjustRightInd w:val="0"/>
              <w:spacing w:line="360" w:lineRule="auto"/>
              <w:jc w:val="center"/>
              <w:rPr>
                <w:rFonts w:ascii="宋体" w:hAnsi="宋体"/>
                <w:sz w:val="24"/>
              </w:rPr>
            </w:pPr>
            <w:r>
              <w:rPr>
                <w:rFonts w:hint="eastAsia" w:ascii="宋体" w:hAnsi="宋体"/>
                <w:sz w:val="24"/>
              </w:rPr>
              <w:t>合计</w:t>
            </w:r>
          </w:p>
          <w:p w14:paraId="16C28A44">
            <w:pPr>
              <w:pStyle w:val="38"/>
              <w:autoSpaceDE w:val="0"/>
              <w:autoSpaceDN w:val="0"/>
              <w:adjustRightInd w:val="0"/>
              <w:spacing w:line="360" w:lineRule="auto"/>
              <w:jc w:val="center"/>
              <w:rPr>
                <w:rFonts w:ascii="宋体" w:hAnsi="宋体"/>
                <w:sz w:val="24"/>
              </w:rPr>
            </w:pPr>
            <w:r>
              <w:rPr>
                <w:rFonts w:hint="eastAsia" w:ascii="宋体" w:hAnsi="宋体"/>
                <w:sz w:val="24"/>
              </w:rPr>
              <w:t>（每月小计×月数）</w:t>
            </w:r>
          </w:p>
        </w:tc>
        <w:tc>
          <w:tcPr>
            <w:tcW w:w="1464" w:type="pct"/>
            <w:tcBorders>
              <w:top w:val="single" w:color="auto" w:sz="4" w:space="0"/>
              <w:left w:val="single" w:color="auto" w:sz="4" w:space="0"/>
              <w:bottom w:val="single" w:color="auto" w:sz="4" w:space="0"/>
              <w:right w:val="single" w:color="auto" w:sz="4" w:space="0"/>
            </w:tcBorders>
            <w:vAlign w:val="center"/>
          </w:tcPr>
          <w:p w14:paraId="3DE3AE80">
            <w:pPr>
              <w:pStyle w:val="38"/>
              <w:autoSpaceDE w:val="0"/>
              <w:autoSpaceDN w:val="0"/>
              <w:adjustRightInd w:val="0"/>
              <w:spacing w:line="360" w:lineRule="auto"/>
              <w:jc w:val="center"/>
              <w:rPr>
                <w:rFonts w:ascii="宋体" w:hAnsi="宋体"/>
                <w:sz w:val="24"/>
              </w:rPr>
            </w:pPr>
          </w:p>
        </w:tc>
        <w:tc>
          <w:tcPr>
            <w:tcW w:w="1463" w:type="pct"/>
            <w:tcBorders>
              <w:top w:val="single" w:color="auto" w:sz="4" w:space="0"/>
              <w:left w:val="single" w:color="auto" w:sz="4" w:space="0"/>
              <w:bottom w:val="single" w:color="auto" w:sz="4" w:space="0"/>
              <w:right w:val="single" w:color="auto" w:sz="4" w:space="0"/>
              <w:tr2bl w:val="single" w:color="auto" w:sz="4" w:space="0"/>
            </w:tcBorders>
            <w:vAlign w:val="center"/>
          </w:tcPr>
          <w:p w14:paraId="22B2536E">
            <w:pPr>
              <w:pStyle w:val="38"/>
              <w:autoSpaceDE w:val="0"/>
              <w:autoSpaceDN w:val="0"/>
              <w:adjustRightInd w:val="0"/>
              <w:spacing w:line="360" w:lineRule="auto"/>
              <w:jc w:val="center"/>
              <w:rPr>
                <w:rFonts w:ascii="宋体" w:hAnsi="宋体"/>
                <w:sz w:val="24"/>
              </w:rPr>
            </w:pPr>
          </w:p>
        </w:tc>
      </w:tr>
    </w:tbl>
    <w:p w14:paraId="5A347530">
      <w:pPr>
        <w:pStyle w:val="38"/>
        <w:spacing w:line="360" w:lineRule="auto"/>
        <w:ind w:left="2" w:right="-128"/>
        <w:rPr>
          <w:rFonts w:ascii="宋体" w:hAnsi="宋体"/>
          <w:sz w:val="24"/>
        </w:rPr>
      </w:pPr>
    </w:p>
    <w:p w14:paraId="46B7C371">
      <w:pPr>
        <w:pStyle w:val="38"/>
        <w:spacing w:line="360" w:lineRule="auto"/>
        <w:ind w:left="2" w:right="-128"/>
        <w:rPr>
          <w:rFonts w:ascii="宋体" w:hAnsi="宋体"/>
          <w:sz w:val="24"/>
        </w:rPr>
      </w:pPr>
      <w:r>
        <w:rPr>
          <w:rFonts w:hint="eastAsia" w:ascii="宋体" w:hAnsi="宋体"/>
          <w:sz w:val="24"/>
        </w:rPr>
        <w:t>填报要求：</w:t>
      </w:r>
    </w:p>
    <w:p w14:paraId="7BF9D967">
      <w:pPr>
        <w:pStyle w:val="38"/>
        <w:spacing w:line="360" w:lineRule="auto"/>
        <w:ind w:left="2" w:right="-128"/>
        <w:rPr>
          <w:rFonts w:ascii="宋体" w:hAnsi="宋体"/>
          <w:sz w:val="24"/>
        </w:rPr>
      </w:pPr>
      <w:r>
        <w:rPr>
          <w:rFonts w:hint="eastAsia" w:ascii="宋体" w:hAnsi="宋体"/>
          <w:sz w:val="24"/>
        </w:rPr>
        <w:t>1.此表为《开标一览表》的报价明细表，合计应与《开标一览表》的总报价相等。</w:t>
      </w:r>
      <w:r>
        <w:rPr>
          <w:rFonts w:hint="eastAsia" w:hAnsi="宋体"/>
          <w:sz w:val="24"/>
        </w:rPr>
        <w:t>如有缺项、漏项（数量不符合将被视为漏项），在磋商中澄清、明确。</w:t>
      </w:r>
    </w:p>
    <w:p w14:paraId="400B7C0C">
      <w:pPr>
        <w:pStyle w:val="38"/>
        <w:spacing w:line="360" w:lineRule="auto"/>
        <w:ind w:left="2" w:right="-128"/>
        <w:rPr>
          <w:rFonts w:ascii="宋体" w:hAnsi="宋体"/>
          <w:sz w:val="24"/>
        </w:rPr>
      </w:pPr>
      <w:r>
        <w:rPr>
          <w:rFonts w:hint="eastAsia" w:ascii="宋体" w:hAnsi="宋体"/>
          <w:sz w:val="24"/>
        </w:rPr>
        <w:t>2.人员费用的报价应与《配置服务人员费用报价明细表》的合计价相符。</w:t>
      </w:r>
    </w:p>
    <w:p w14:paraId="511C0BEA"/>
    <w:p w14:paraId="213B6744">
      <w:pPr>
        <w:sectPr>
          <w:pgSz w:w="11906" w:h="16838"/>
          <w:pgMar w:top="1440" w:right="1800" w:bottom="1440" w:left="1800" w:header="851" w:footer="992" w:gutter="0"/>
          <w:cols w:space="425" w:num="1"/>
          <w:docGrid w:type="lines" w:linePitch="312" w:charSpace="0"/>
        </w:sectPr>
      </w:pPr>
    </w:p>
    <w:p w14:paraId="6F413DB7">
      <w:pPr>
        <w:pStyle w:val="35"/>
        <w:shd w:val="clear" w:color="auto" w:fill="FFFFFF"/>
        <w:spacing w:after="300" w:afterAutospacing="0"/>
        <w:outlineLvl w:val="2"/>
        <w:rPr>
          <w:color w:val="333333"/>
        </w:rPr>
      </w:pPr>
      <w:r>
        <w:rPr>
          <w:rStyle w:val="16"/>
          <w:rFonts w:hint="eastAsia"/>
        </w:rPr>
        <w:t>实质性响应条款一览表</w:t>
      </w:r>
      <w:r>
        <w:rPr>
          <w:rFonts w:hint="eastAsia"/>
          <w:color w:val="333333"/>
        </w:rPr>
        <w:t xml:space="preserve"> </w:t>
      </w:r>
    </w:p>
    <w:tbl>
      <w:tblPr>
        <w:tblStyle w:val="13"/>
        <w:tblW w:w="5000"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833"/>
        <w:gridCol w:w="5002"/>
        <w:gridCol w:w="1667"/>
        <w:gridCol w:w="834"/>
      </w:tblGrid>
      <w:tr w14:paraId="6D77847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500" w:type="pct"/>
            <w:tcBorders>
              <w:top w:val="outset" w:color="auto" w:sz="6" w:space="0"/>
              <w:left w:val="outset" w:color="auto" w:sz="6" w:space="0"/>
              <w:bottom w:val="outset" w:color="auto" w:sz="6" w:space="0"/>
              <w:right w:val="outset" w:color="auto" w:sz="6" w:space="0"/>
            </w:tcBorders>
            <w:vAlign w:val="center"/>
          </w:tcPr>
          <w:p w14:paraId="69C7ECED">
            <w:pPr>
              <w:pStyle w:val="11"/>
              <w:wordWrap w:val="0"/>
              <w:jc w:val="center"/>
              <w:rPr>
                <w:b/>
                <w:bCs/>
              </w:rPr>
            </w:pPr>
            <w:r>
              <w:rPr>
                <w:rFonts w:hint="eastAsia"/>
                <w:b/>
                <w:bCs/>
              </w:rPr>
              <w:t>序号</w:t>
            </w:r>
          </w:p>
        </w:tc>
        <w:tc>
          <w:tcPr>
            <w:tcW w:w="3000" w:type="pct"/>
            <w:tcBorders>
              <w:top w:val="outset" w:color="auto" w:sz="6" w:space="0"/>
              <w:left w:val="outset" w:color="auto" w:sz="6" w:space="0"/>
              <w:bottom w:val="outset" w:color="auto" w:sz="6" w:space="0"/>
              <w:right w:val="outset" w:color="auto" w:sz="6" w:space="0"/>
            </w:tcBorders>
            <w:vAlign w:val="center"/>
          </w:tcPr>
          <w:p w14:paraId="4355F6D4">
            <w:pPr>
              <w:pStyle w:val="11"/>
              <w:wordWrap w:val="0"/>
              <w:jc w:val="center"/>
              <w:rPr>
                <w:b/>
                <w:bCs/>
              </w:rPr>
            </w:pPr>
            <w:r>
              <w:rPr>
                <w:rFonts w:hint="eastAsia"/>
                <w:b/>
                <w:bCs/>
              </w:rPr>
              <w:t>实质性响应条款</w:t>
            </w:r>
          </w:p>
        </w:tc>
        <w:tc>
          <w:tcPr>
            <w:tcW w:w="1000" w:type="pct"/>
            <w:tcBorders>
              <w:top w:val="outset" w:color="auto" w:sz="6" w:space="0"/>
              <w:left w:val="outset" w:color="auto" w:sz="6" w:space="0"/>
              <w:bottom w:val="outset" w:color="auto" w:sz="6" w:space="0"/>
              <w:right w:val="outset" w:color="auto" w:sz="6" w:space="0"/>
            </w:tcBorders>
            <w:vAlign w:val="center"/>
          </w:tcPr>
          <w:p w14:paraId="40FCCED8">
            <w:pPr>
              <w:pStyle w:val="11"/>
              <w:wordWrap w:val="0"/>
              <w:jc w:val="center"/>
              <w:rPr>
                <w:b/>
                <w:bCs/>
              </w:rPr>
            </w:pPr>
            <w:r>
              <w:rPr>
                <w:rFonts w:hint="eastAsia"/>
                <w:b/>
                <w:bCs/>
              </w:rPr>
              <w:t>供应商响应情况</w:t>
            </w:r>
          </w:p>
        </w:tc>
        <w:tc>
          <w:tcPr>
            <w:tcW w:w="1000" w:type="pct"/>
            <w:tcBorders>
              <w:top w:val="outset" w:color="auto" w:sz="6" w:space="0"/>
              <w:left w:val="outset" w:color="auto" w:sz="6" w:space="0"/>
              <w:bottom w:val="outset" w:color="auto" w:sz="6" w:space="0"/>
              <w:right w:val="outset" w:color="auto" w:sz="6" w:space="0"/>
            </w:tcBorders>
            <w:vAlign w:val="center"/>
          </w:tcPr>
          <w:p w14:paraId="268CAE51">
            <w:pPr>
              <w:pStyle w:val="11"/>
              <w:wordWrap w:val="0"/>
              <w:jc w:val="center"/>
              <w:rPr>
                <w:b/>
                <w:bCs/>
              </w:rPr>
            </w:pPr>
            <w:r>
              <w:rPr>
                <w:rFonts w:hint="eastAsia"/>
                <w:b/>
                <w:bCs/>
              </w:rPr>
              <w:t>差异</w:t>
            </w:r>
          </w:p>
        </w:tc>
      </w:tr>
    </w:tbl>
    <w:p w14:paraId="701F06D3">
      <w:pPr>
        <w:pStyle w:val="11"/>
        <w:shd w:val="clear" w:color="auto" w:fill="FFFFFF"/>
        <w:ind w:firstLine="480"/>
        <w:rPr>
          <w:color w:val="333333"/>
        </w:rPr>
      </w:pPr>
      <w:r>
        <w:rPr>
          <w:rFonts w:hint="eastAsia"/>
          <w:color w:val="333333"/>
        </w:rPr>
        <w:t>说明:</w:t>
      </w:r>
    </w:p>
    <w:p w14:paraId="15C10BCF">
      <w:pPr>
        <w:pStyle w:val="11"/>
        <w:shd w:val="clear" w:color="auto" w:fill="FFFFFF"/>
        <w:ind w:firstLine="480"/>
        <w:rPr>
          <w:color w:val="333333"/>
        </w:rPr>
      </w:pPr>
      <w:r>
        <w:rPr>
          <w:rFonts w:hint="eastAsia"/>
          <w:color w:val="333333"/>
        </w:rPr>
        <w:t>1.实质性响应条款一览表后续内容请根据第二章采购需求</w:t>
      </w:r>
      <w:r>
        <w:rPr>
          <w:rStyle w:val="16"/>
          <w:rFonts w:hint="eastAsia"/>
        </w:rPr>
        <w:t>★</w:t>
      </w:r>
      <w:r>
        <w:rPr>
          <w:rFonts w:hint="eastAsia"/>
          <w:color w:val="333333"/>
        </w:rPr>
        <w:t>号条款详细列举。</w:t>
      </w:r>
    </w:p>
    <w:p w14:paraId="5FB6B1E5">
      <w:pPr>
        <w:pStyle w:val="11"/>
        <w:shd w:val="clear" w:color="auto" w:fill="FFFFFF"/>
        <w:ind w:firstLine="480"/>
        <w:rPr>
          <w:color w:val="333333"/>
        </w:rPr>
      </w:pPr>
      <w:r>
        <w:rPr>
          <w:rFonts w:hint="eastAsia"/>
          <w:color w:val="333333"/>
        </w:rPr>
        <w:t>2.本表所列条款必须一一予以响应，“供应商响应情况”一栏应填写具体的响应内容并注明差异情况。</w:t>
      </w:r>
    </w:p>
    <w:p w14:paraId="16B599F3">
      <w:pPr>
        <w:pStyle w:val="11"/>
        <w:shd w:val="clear" w:color="auto" w:fill="FFFFFF"/>
        <w:ind w:firstLine="480"/>
        <w:rPr>
          <w:color w:val="333333"/>
        </w:rPr>
      </w:pPr>
      <w:r>
        <w:rPr>
          <w:rFonts w:hint="eastAsia"/>
          <w:color w:val="333333"/>
        </w:rPr>
        <w:t>3.请供应商认真填写本表内容，如填写错误将可能导致响应无效。</w:t>
      </w:r>
    </w:p>
    <w:p w14:paraId="305E0F36">
      <w:pPr>
        <w:sectPr>
          <w:pgSz w:w="11906" w:h="16838"/>
          <w:pgMar w:top="1440" w:right="1800" w:bottom="1440" w:left="1800" w:header="851" w:footer="992" w:gutter="0"/>
          <w:cols w:space="425" w:num="1"/>
          <w:docGrid w:type="lines" w:linePitch="312" w:charSpace="0"/>
        </w:sectPr>
      </w:pPr>
    </w:p>
    <w:p w14:paraId="2CFE1EEC">
      <w:pPr>
        <w:pStyle w:val="39"/>
        <w:pageBreakBefore/>
        <w:spacing w:line="360" w:lineRule="auto"/>
        <w:jc w:val="center"/>
        <w:rPr>
          <w:rFonts w:ascii="宋体" w:hAnsi="宋体"/>
          <w:b/>
          <w:sz w:val="28"/>
          <w:szCs w:val="28"/>
          <w:lang w:val="en-GB"/>
        </w:rPr>
      </w:pPr>
      <w:r>
        <w:rPr>
          <w:rFonts w:hint="eastAsia" w:ascii="宋体" w:hAnsi="宋体"/>
          <w:b/>
          <w:sz w:val="28"/>
          <w:szCs w:val="28"/>
        </w:rPr>
        <w:t>业绩一览表</w:t>
      </w:r>
    </w:p>
    <w:tbl>
      <w:tblPr>
        <w:tblStyle w:val="1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14:paraId="15890C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14:paraId="12CB8255">
            <w:pPr>
              <w:pStyle w:val="39"/>
              <w:spacing w:line="360" w:lineRule="auto"/>
              <w:jc w:val="center"/>
              <w:rPr>
                <w:rFonts w:ascii="宋体" w:hAnsi="宋体" w:cs="Arial"/>
                <w:b/>
                <w:bCs/>
                <w:sz w:val="24"/>
              </w:rPr>
            </w:pPr>
            <w:r>
              <w:rPr>
                <w:rFonts w:hint="eastAsia" w:ascii="宋体" w:hAnsi="宋体" w:cs="Arial"/>
                <w:b/>
                <w:bCs/>
                <w:sz w:val="24"/>
              </w:rPr>
              <w:t>序号</w:t>
            </w:r>
          </w:p>
        </w:tc>
        <w:tc>
          <w:tcPr>
            <w:tcW w:w="1293" w:type="dxa"/>
            <w:tcBorders>
              <w:top w:val="single" w:color="auto" w:sz="6" w:space="0"/>
              <w:left w:val="single" w:color="auto" w:sz="6" w:space="0"/>
              <w:bottom w:val="single" w:color="auto" w:sz="6" w:space="0"/>
              <w:right w:val="single" w:color="auto" w:sz="6" w:space="0"/>
            </w:tcBorders>
            <w:vAlign w:val="center"/>
          </w:tcPr>
          <w:p w14:paraId="667004EC">
            <w:pPr>
              <w:pStyle w:val="39"/>
              <w:spacing w:line="360" w:lineRule="auto"/>
              <w:jc w:val="center"/>
              <w:rPr>
                <w:rFonts w:ascii="宋体" w:hAnsi="宋体" w:cs="Arial"/>
                <w:b/>
                <w:bCs/>
                <w:sz w:val="24"/>
              </w:rPr>
            </w:pPr>
            <w:r>
              <w:rPr>
                <w:rFonts w:hint="eastAsia" w:ascii="宋体" w:hAnsi="宋体" w:cs="Arial"/>
                <w:b/>
                <w:bCs/>
                <w:sz w:val="24"/>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14:paraId="4E068C18">
            <w:pPr>
              <w:pStyle w:val="39"/>
              <w:spacing w:line="360" w:lineRule="auto"/>
              <w:jc w:val="center"/>
              <w:rPr>
                <w:rFonts w:ascii="宋体" w:hAnsi="宋体" w:cs="Arial"/>
                <w:b/>
                <w:bCs/>
                <w:sz w:val="24"/>
              </w:rPr>
            </w:pPr>
            <w:r>
              <w:rPr>
                <w:rFonts w:hint="eastAsia" w:ascii="宋体" w:hAnsi="宋体" w:cs="Arial"/>
                <w:b/>
                <w:bCs/>
                <w:sz w:val="24"/>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14:paraId="6B075F0F">
            <w:pPr>
              <w:pStyle w:val="39"/>
              <w:spacing w:line="360" w:lineRule="auto"/>
              <w:jc w:val="center"/>
              <w:rPr>
                <w:rFonts w:ascii="宋体" w:hAnsi="宋体" w:cs="Arial"/>
                <w:b/>
                <w:bCs/>
                <w:sz w:val="24"/>
              </w:rPr>
            </w:pPr>
            <w:r>
              <w:rPr>
                <w:rFonts w:hint="eastAsia" w:ascii="宋体" w:hAnsi="宋体" w:cs="Arial"/>
                <w:b/>
                <w:bCs/>
                <w:sz w:val="24"/>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14:paraId="67FB61AD">
            <w:pPr>
              <w:pStyle w:val="39"/>
              <w:spacing w:line="360" w:lineRule="auto"/>
              <w:jc w:val="center"/>
              <w:rPr>
                <w:rFonts w:ascii="宋体" w:hAnsi="宋体" w:cs="Arial"/>
                <w:b/>
                <w:bCs/>
                <w:color w:val="FF0000"/>
                <w:sz w:val="24"/>
              </w:rPr>
            </w:pPr>
            <w:r>
              <w:rPr>
                <w:rFonts w:hint="eastAsia" w:ascii="宋体" w:hAnsi="宋体" w:cs="Arial"/>
                <w:b/>
                <w:bCs/>
                <w:color w:val="0000FF"/>
                <w:sz w:val="24"/>
                <w:szCs w:val="24"/>
              </w:rPr>
              <w:t>服务年限（服务类）</w:t>
            </w:r>
          </w:p>
        </w:tc>
        <w:tc>
          <w:tcPr>
            <w:tcW w:w="1383" w:type="dxa"/>
            <w:tcBorders>
              <w:top w:val="single" w:color="auto" w:sz="6" w:space="0"/>
              <w:left w:val="single" w:color="auto" w:sz="6" w:space="0"/>
              <w:bottom w:val="single" w:color="auto" w:sz="6" w:space="0"/>
              <w:right w:val="single" w:color="auto" w:sz="6" w:space="0"/>
            </w:tcBorders>
            <w:vAlign w:val="center"/>
          </w:tcPr>
          <w:p w14:paraId="7A4A9298">
            <w:pPr>
              <w:pStyle w:val="39"/>
              <w:spacing w:line="360" w:lineRule="auto"/>
              <w:jc w:val="center"/>
              <w:rPr>
                <w:rFonts w:ascii="宋体" w:hAnsi="宋体" w:cs="Arial"/>
                <w:b/>
                <w:bCs/>
                <w:sz w:val="24"/>
              </w:rPr>
            </w:pPr>
            <w:r>
              <w:rPr>
                <w:rFonts w:hint="eastAsia" w:ascii="宋体" w:hAnsi="宋体" w:cs="Arial"/>
                <w:b/>
                <w:bCs/>
                <w:sz w:val="24"/>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14:paraId="718AA649">
            <w:pPr>
              <w:pStyle w:val="39"/>
              <w:spacing w:line="360" w:lineRule="auto"/>
              <w:jc w:val="center"/>
              <w:rPr>
                <w:rFonts w:ascii="宋体" w:hAnsi="宋体" w:cs="Arial"/>
                <w:b/>
                <w:bCs/>
                <w:sz w:val="24"/>
              </w:rPr>
            </w:pPr>
            <w:r>
              <w:rPr>
                <w:rFonts w:hint="eastAsia" w:ascii="宋体" w:hAnsi="宋体" w:cs="Arial"/>
                <w:b/>
                <w:bCs/>
                <w:sz w:val="24"/>
              </w:rPr>
              <w:t>项目单位联系人电话</w:t>
            </w:r>
          </w:p>
        </w:tc>
      </w:tr>
      <w:tr w14:paraId="57B0FA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Pr>
          <w:p w14:paraId="514CA033">
            <w:pPr>
              <w:pStyle w:val="39"/>
              <w:spacing w:line="360" w:lineRule="auto"/>
              <w:jc w:val="center"/>
              <w:rPr>
                <w:rFonts w:ascii="宋体" w:hAnsi="宋体" w:cs="Arial"/>
                <w:sz w:val="24"/>
              </w:rPr>
            </w:pPr>
            <w:r>
              <w:rPr>
                <w:rFonts w:hint="eastAsia" w:ascii="宋体" w:hAnsi="宋体" w:cs="Arial"/>
                <w:sz w:val="24"/>
              </w:rPr>
              <w:t>1</w:t>
            </w:r>
          </w:p>
        </w:tc>
        <w:tc>
          <w:tcPr>
            <w:tcW w:w="1293" w:type="dxa"/>
            <w:tcBorders>
              <w:top w:val="single" w:color="auto" w:sz="6" w:space="0"/>
              <w:left w:val="single" w:color="auto" w:sz="6" w:space="0"/>
              <w:bottom w:val="single" w:color="auto" w:sz="6" w:space="0"/>
              <w:right w:val="single" w:color="auto" w:sz="6" w:space="0"/>
            </w:tcBorders>
          </w:tcPr>
          <w:p w14:paraId="76867B9E">
            <w:pPr>
              <w:pStyle w:val="39"/>
              <w:spacing w:line="360" w:lineRule="auto"/>
              <w:rPr>
                <w:rFonts w:ascii="宋体" w:hAnsi="宋体" w:cs="Arial"/>
                <w:sz w:val="24"/>
              </w:rPr>
            </w:pPr>
          </w:p>
        </w:tc>
        <w:tc>
          <w:tcPr>
            <w:tcW w:w="1575" w:type="dxa"/>
            <w:tcBorders>
              <w:top w:val="single" w:color="auto" w:sz="6" w:space="0"/>
              <w:left w:val="single" w:color="auto" w:sz="6" w:space="0"/>
              <w:bottom w:val="single" w:color="auto" w:sz="6" w:space="0"/>
              <w:right w:val="single" w:color="auto" w:sz="6" w:space="0"/>
            </w:tcBorders>
          </w:tcPr>
          <w:p w14:paraId="6EDE30FD">
            <w:pPr>
              <w:pStyle w:val="39"/>
              <w:spacing w:line="360" w:lineRule="auto"/>
              <w:rPr>
                <w:rFonts w:ascii="宋体" w:hAnsi="宋体" w:cs="Arial"/>
                <w:sz w:val="24"/>
              </w:rPr>
            </w:pPr>
          </w:p>
        </w:tc>
        <w:tc>
          <w:tcPr>
            <w:tcW w:w="1260" w:type="dxa"/>
            <w:tcBorders>
              <w:top w:val="single" w:color="auto" w:sz="6" w:space="0"/>
              <w:left w:val="single" w:color="auto" w:sz="6" w:space="0"/>
              <w:bottom w:val="single" w:color="auto" w:sz="6" w:space="0"/>
              <w:right w:val="single" w:color="auto" w:sz="6" w:space="0"/>
            </w:tcBorders>
          </w:tcPr>
          <w:p w14:paraId="410EA918">
            <w:pPr>
              <w:pStyle w:val="39"/>
              <w:spacing w:line="360" w:lineRule="auto"/>
              <w:rPr>
                <w:rFonts w:ascii="宋体" w:hAnsi="宋体" w:cs="Arial"/>
                <w:sz w:val="24"/>
              </w:rPr>
            </w:pPr>
          </w:p>
        </w:tc>
        <w:tc>
          <w:tcPr>
            <w:tcW w:w="1452" w:type="dxa"/>
            <w:tcBorders>
              <w:top w:val="single" w:color="auto" w:sz="6" w:space="0"/>
              <w:left w:val="single" w:color="auto" w:sz="6" w:space="0"/>
              <w:bottom w:val="single" w:color="auto" w:sz="6" w:space="0"/>
              <w:right w:val="single" w:color="auto" w:sz="6" w:space="0"/>
            </w:tcBorders>
          </w:tcPr>
          <w:p w14:paraId="070592F7">
            <w:pPr>
              <w:pStyle w:val="39"/>
              <w:spacing w:line="360" w:lineRule="auto"/>
              <w:rPr>
                <w:rFonts w:ascii="宋体" w:hAnsi="宋体" w:cs="Arial"/>
                <w:sz w:val="24"/>
              </w:rPr>
            </w:pPr>
          </w:p>
        </w:tc>
        <w:tc>
          <w:tcPr>
            <w:tcW w:w="1383" w:type="dxa"/>
            <w:tcBorders>
              <w:top w:val="single" w:color="auto" w:sz="6" w:space="0"/>
              <w:left w:val="single" w:color="auto" w:sz="6" w:space="0"/>
              <w:bottom w:val="single" w:color="auto" w:sz="6" w:space="0"/>
              <w:right w:val="single" w:color="auto" w:sz="6" w:space="0"/>
            </w:tcBorders>
          </w:tcPr>
          <w:p w14:paraId="15654A03">
            <w:pPr>
              <w:pStyle w:val="39"/>
              <w:spacing w:line="360" w:lineRule="auto"/>
              <w:rPr>
                <w:rFonts w:ascii="宋体" w:hAnsi="宋体" w:cs="Arial"/>
                <w:sz w:val="24"/>
              </w:rPr>
            </w:pPr>
          </w:p>
        </w:tc>
        <w:tc>
          <w:tcPr>
            <w:tcW w:w="2037" w:type="dxa"/>
            <w:tcBorders>
              <w:top w:val="single" w:color="auto" w:sz="6" w:space="0"/>
              <w:left w:val="single" w:color="auto" w:sz="6" w:space="0"/>
              <w:bottom w:val="single" w:color="auto" w:sz="6" w:space="0"/>
              <w:right w:val="single" w:color="auto" w:sz="6" w:space="0"/>
            </w:tcBorders>
          </w:tcPr>
          <w:p w14:paraId="30F08CD6">
            <w:pPr>
              <w:pStyle w:val="39"/>
              <w:spacing w:line="360" w:lineRule="auto"/>
              <w:rPr>
                <w:rFonts w:ascii="宋体" w:hAnsi="宋体" w:cs="Arial"/>
                <w:sz w:val="24"/>
              </w:rPr>
            </w:pPr>
          </w:p>
        </w:tc>
      </w:tr>
      <w:tr w14:paraId="0E68EC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Pr>
          <w:p w14:paraId="6C45869D">
            <w:pPr>
              <w:pStyle w:val="39"/>
              <w:spacing w:line="360" w:lineRule="auto"/>
              <w:jc w:val="center"/>
              <w:rPr>
                <w:rFonts w:ascii="宋体" w:hAnsi="宋体" w:cs="Arial"/>
                <w:sz w:val="24"/>
              </w:rPr>
            </w:pPr>
            <w:r>
              <w:rPr>
                <w:rFonts w:hint="eastAsia" w:ascii="宋体" w:hAnsi="宋体" w:cs="Arial"/>
                <w:sz w:val="24"/>
              </w:rPr>
              <w:t>2</w:t>
            </w:r>
          </w:p>
        </w:tc>
        <w:tc>
          <w:tcPr>
            <w:tcW w:w="1293" w:type="dxa"/>
            <w:tcBorders>
              <w:top w:val="single" w:color="auto" w:sz="6" w:space="0"/>
              <w:left w:val="single" w:color="auto" w:sz="6" w:space="0"/>
              <w:bottom w:val="single" w:color="auto" w:sz="6" w:space="0"/>
              <w:right w:val="single" w:color="auto" w:sz="6" w:space="0"/>
            </w:tcBorders>
          </w:tcPr>
          <w:p w14:paraId="2BBE9035">
            <w:pPr>
              <w:pStyle w:val="39"/>
              <w:spacing w:line="360" w:lineRule="auto"/>
              <w:rPr>
                <w:rFonts w:ascii="宋体" w:hAnsi="宋体" w:cs="Arial"/>
                <w:sz w:val="24"/>
              </w:rPr>
            </w:pPr>
          </w:p>
        </w:tc>
        <w:tc>
          <w:tcPr>
            <w:tcW w:w="1575" w:type="dxa"/>
            <w:tcBorders>
              <w:top w:val="single" w:color="auto" w:sz="6" w:space="0"/>
              <w:left w:val="single" w:color="auto" w:sz="6" w:space="0"/>
              <w:bottom w:val="single" w:color="auto" w:sz="6" w:space="0"/>
              <w:right w:val="single" w:color="auto" w:sz="6" w:space="0"/>
            </w:tcBorders>
          </w:tcPr>
          <w:p w14:paraId="5D147592">
            <w:pPr>
              <w:pStyle w:val="39"/>
              <w:spacing w:line="360" w:lineRule="auto"/>
              <w:rPr>
                <w:rFonts w:ascii="宋体" w:hAnsi="宋体" w:cs="Arial"/>
                <w:sz w:val="24"/>
              </w:rPr>
            </w:pPr>
          </w:p>
        </w:tc>
        <w:tc>
          <w:tcPr>
            <w:tcW w:w="1260" w:type="dxa"/>
            <w:tcBorders>
              <w:top w:val="single" w:color="auto" w:sz="6" w:space="0"/>
              <w:left w:val="single" w:color="auto" w:sz="6" w:space="0"/>
              <w:bottom w:val="single" w:color="auto" w:sz="6" w:space="0"/>
              <w:right w:val="single" w:color="auto" w:sz="6" w:space="0"/>
            </w:tcBorders>
          </w:tcPr>
          <w:p w14:paraId="3771483B">
            <w:pPr>
              <w:pStyle w:val="39"/>
              <w:spacing w:line="360" w:lineRule="auto"/>
              <w:rPr>
                <w:rFonts w:ascii="宋体" w:hAnsi="宋体" w:cs="Arial"/>
                <w:sz w:val="24"/>
              </w:rPr>
            </w:pPr>
          </w:p>
        </w:tc>
        <w:tc>
          <w:tcPr>
            <w:tcW w:w="1452" w:type="dxa"/>
            <w:tcBorders>
              <w:top w:val="single" w:color="auto" w:sz="6" w:space="0"/>
              <w:left w:val="single" w:color="auto" w:sz="6" w:space="0"/>
              <w:bottom w:val="single" w:color="auto" w:sz="6" w:space="0"/>
              <w:right w:val="single" w:color="auto" w:sz="6" w:space="0"/>
            </w:tcBorders>
          </w:tcPr>
          <w:p w14:paraId="16D2AD1B">
            <w:pPr>
              <w:pStyle w:val="39"/>
              <w:spacing w:line="360" w:lineRule="auto"/>
              <w:rPr>
                <w:rFonts w:ascii="宋体" w:hAnsi="宋体" w:cs="Arial"/>
                <w:sz w:val="24"/>
              </w:rPr>
            </w:pPr>
          </w:p>
        </w:tc>
        <w:tc>
          <w:tcPr>
            <w:tcW w:w="1383" w:type="dxa"/>
            <w:tcBorders>
              <w:top w:val="single" w:color="auto" w:sz="6" w:space="0"/>
              <w:left w:val="single" w:color="auto" w:sz="6" w:space="0"/>
              <w:bottom w:val="single" w:color="auto" w:sz="6" w:space="0"/>
              <w:right w:val="single" w:color="auto" w:sz="6" w:space="0"/>
            </w:tcBorders>
          </w:tcPr>
          <w:p w14:paraId="69F27F7E">
            <w:pPr>
              <w:pStyle w:val="39"/>
              <w:spacing w:line="360" w:lineRule="auto"/>
              <w:rPr>
                <w:rFonts w:ascii="宋体" w:hAnsi="宋体" w:cs="Arial"/>
                <w:sz w:val="24"/>
              </w:rPr>
            </w:pPr>
          </w:p>
        </w:tc>
        <w:tc>
          <w:tcPr>
            <w:tcW w:w="2037" w:type="dxa"/>
            <w:tcBorders>
              <w:top w:val="single" w:color="auto" w:sz="6" w:space="0"/>
              <w:left w:val="single" w:color="auto" w:sz="6" w:space="0"/>
              <w:bottom w:val="single" w:color="auto" w:sz="6" w:space="0"/>
              <w:right w:val="single" w:color="auto" w:sz="6" w:space="0"/>
            </w:tcBorders>
          </w:tcPr>
          <w:p w14:paraId="5F2475F4">
            <w:pPr>
              <w:pStyle w:val="39"/>
              <w:spacing w:line="360" w:lineRule="auto"/>
              <w:rPr>
                <w:rFonts w:ascii="宋体" w:hAnsi="宋体" w:cs="Arial"/>
                <w:sz w:val="24"/>
              </w:rPr>
            </w:pPr>
          </w:p>
        </w:tc>
      </w:tr>
      <w:tr w14:paraId="6EA7DB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Pr>
          <w:p w14:paraId="15A816FB">
            <w:pPr>
              <w:pStyle w:val="39"/>
              <w:spacing w:line="360" w:lineRule="auto"/>
              <w:jc w:val="center"/>
              <w:rPr>
                <w:rFonts w:ascii="宋体" w:hAnsi="宋体" w:cs="Arial"/>
                <w:sz w:val="24"/>
              </w:rPr>
            </w:pPr>
            <w:r>
              <w:rPr>
                <w:rFonts w:hint="eastAsia" w:ascii="宋体" w:hAnsi="宋体" w:cs="Arial"/>
                <w:sz w:val="24"/>
              </w:rPr>
              <w:t>3</w:t>
            </w:r>
          </w:p>
        </w:tc>
        <w:tc>
          <w:tcPr>
            <w:tcW w:w="1293" w:type="dxa"/>
            <w:tcBorders>
              <w:top w:val="single" w:color="auto" w:sz="6" w:space="0"/>
              <w:left w:val="single" w:color="auto" w:sz="6" w:space="0"/>
              <w:bottom w:val="single" w:color="auto" w:sz="6" w:space="0"/>
              <w:right w:val="single" w:color="auto" w:sz="6" w:space="0"/>
            </w:tcBorders>
          </w:tcPr>
          <w:p w14:paraId="5B508C7D">
            <w:pPr>
              <w:pStyle w:val="39"/>
              <w:spacing w:line="360" w:lineRule="auto"/>
              <w:rPr>
                <w:rFonts w:ascii="宋体" w:hAnsi="宋体" w:cs="Arial"/>
                <w:sz w:val="24"/>
              </w:rPr>
            </w:pPr>
          </w:p>
        </w:tc>
        <w:tc>
          <w:tcPr>
            <w:tcW w:w="1575" w:type="dxa"/>
            <w:tcBorders>
              <w:top w:val="single" w:color="auto" w:sz="6" w:space="0"/>
              <w:left w:val="single" w:color="auto" w:sz="6" w:space="0"/>
              <w:bottom w:val="single" w:color="auto" w:sz="6" w:space="0"/>
              <w:right w:val="single" w:color="auto" w:sz="6" w:space="0"/>
            </w:tcBorders>
          </w:tcPr>
          <w:p w14:paraId="69C6DC54">
            <w:pPr>
              <w:pStyle w:val="39"/>
              <w:spacing w:line="360" w:lineRule="auto"/>
              <w:rPr>
                <w:rFonts w:ascii="宋体" w:hAnsi="宋体" w:cs="Arial"/>
                <w:sz w:val="24"/>
              </w:rPr>
            </w:pPr>
          </w:p>
        </w:tc>
        <w:tc>
          <w:tcPr>
            <w:tcW w:w="1260" w:type="dxa"/>
            <w:tcBorders>
              <w:top w:val="single" w:color="auto" w:sz="6" w:space="0"/>
              <w:left w:val="single" w:color="auto" w:sz="6" w:space="0"/>
              <w:bottom w:val="single" w:color="auto" w:sz="6" w:space="0"/>
              <w:right w:val="single" w:color="auto" w:sz="6" w:space="0"/>
            </w:tcBorders>
          </w:tcPr>
          <w:p w14:paraId="0D3C6700">
            <w:pPr>
              <w:pStyle w:val="39"/>
              <w:spacing w:line="360" w:lineRule="auto"/>
              <w:rPr>
                <w:rFonts w:ascii="宋体" w:hAnsi="宋体" w:cs="Arial"/>
                <w:sz w:val="24"/>
              </w:rPr>
            </w:pPr>
          </w:p>
        </w:tc>
        <w:tc>
          <w:tcPr>
            <w:tcW w:w="1452" w:type="dxa"/>
            <w:tcBorders>
              <w:top w:val="single" w:color="auto" w:sz="6" w:space="0"/>
              <w:left w:val="single" w:color="auto" w:sz="6" w:space="0"/>
              <w:bottom w:val="single" w:color="auto" w:sz="6" w:space="0"/>
              <w:right w:val="single" w:color="auto" w:sz="6" w:space="0"/>
            </w:tcBorders>
          </w:tcPr>
          <w:p w14:paraId="7FC388FF">
            <w:pPr>
              <w:pStyle w:val="39"/>
              <w:spacing w:line="360" w:lineRule="auto"/>
              <w:rPr>
                <w:rFonts w:ascii="宋体" w:hAnsi="宋体" w:cs="Arial"/>
                <w:sz w:val="24"/>
              </w:rPr>
            </w:pPr>
          </w:p>
        </w:tc>
        <w:tc>
          <w:tcPr>
            <w:tcW w:w="1383" w:type="dxa"/>
            <w:tcBorders>
              <w:top w:val="single" w:color="auto" w:sz="6" w:space="0"/>
              <w:left w:val="single" w:color="auto" w:sz="6" w:space="0"/>
              <w:bottom w:val="single" w:color="auto" w:sz="6" w:space="0"/>
              <w:right w:val="single" w:color="auto" w:sz="6" w:space="0"/>
            </w:tcBorders>
          </w:tcPr>
          <w:p w14:paraId="67E7A7B4">
            <w:pPr>
              <w:pStyle w:val="39"/>
              <w:spacing w:line="360" w:lineRule="auto"/>
              <w:rPr>
                <w:rFonts w:ascii="宋体" w:hAnsi="宋体" w:cs="Arial"/>
                <w:sz w:val="24"/>
              </w:rPr>
            </w:pPr>
          </w:p>
        </w:tc>
        <w:tc>
          <w:tcPr>
            <w:tcW w:w="2037" w:type="dxa"/>
            <w:tcBorders>
              <w:top w:val="single" w:color="auto" w:sz="6" w:space="0"/>
              <w:left w:val="single" w:color="auto" w:sz="6" w:space="0"/>
              <w:bottom w:val="single" w:color="auto" w:sz="6" w:space="0"/>
              <w:right w:val="single" w:color="auto" w:sz="6" w:space="0"/>
            </w:tcBorders>
          </w:tcPr>
          <w:p w14:paraId="622F8DA9">
            <w:pPr>
              <w:pStyle w:val="39"/>
              <w:spacing w:line="360" w:lineRule="auto"/>
              <w:rPr>
                <w:rFonts w:ascii="宋体" w:hAnsi="宋体" w:cs="Arial"/>
                <w:sz w:val="24"/>
              </w:rPr>
            </w:pPr>
          </w:p>
        </w:tc>
      </w:tr>
      <w:tr w14:paraId="4ED745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3EE96807">
            <w:pPr>
              <w:pStyle w:val="39"/>
              <w:spacing w:line="360" w:lineRule="auto"/>
              <w:rPr>
                <w:rFonts w:ascii="宋体" w:hAnsi="宋体" w:cs="Arial"/>
                <w:sz w:val="24"/>
              </w:rPr>
            </w:pPr>
            <w:r>
              <w:rPr>
                <w:rFonts w:hint="eastAsia" w:ascii="宋体" w:hAnsi="宋体" w:cs="Arial"/>
                <w:sz w:val="24"/>
              </w:rPr>
              <w:t>…</w:t>
            </w:r>
          </w:p>
        </w:tc>
        <w:tc>
          <w:tcPr>
            <w:tcW w:w="1293" w:type="dxa"/>
            <w:tcBorders>
              <w:top w:val="single" w:color="auto" w:sz="6" w:space="0"/>
              <w:left w:val="single" w:color="auto" w:sz="6" w:space="0"/>
              <w:bottom w:val="single" w:color="auto" w:sz="6" w:space="0"/>
              <w:right w:val="single" w:color="auto" w:sz="6" w:space="0"/>
            </w:tcBorders>
          </w:tcPr>
          <w:p w14:paraId="1BD1136F">
            <w:pPr>
              <w:pStyle w:val="39"/>
              <w:spacing w:line="360" w:lineRule="auto"/>
              <w:rPr>
                <w:rFonts w:ascii="宋体" w:hAnsi="宋体" w:cs="Arial"/>
                <w:sz w:val="24"/>
              </w:rPr>
            </w:pPr>
          </w:p>
        </w:tc>
        <w:tc>
          <w:tcPr>
            <w:tcW w:w="1575" w:type="dxa"/>
            <w:tcBorders>
              <w:top w:val="single" w:color="auto" w:sz="6" w:space="0"/>
              <w:left w:val="single" w:color="auto" w:sz="6" w:space="0"/>
              <w:bottom w:val="single" w:color="auto" w:sz="6" w:space="0"/>
              <w:right w:val="single" w:color="auto" w:sz="6" w:space="0"/>
            </w:tcBorders>
          </w:tcPr>
          <w:p w14:paraId="4CDEB653">
            <w:pPr>
              <w:pStyle w:val="39"/>
              <w:spacing w:line="360" w:lineRule="auto"/>
              <w:rPr>
                <w:rFonts w:ascii="宋体" w:hAnsi="宋体" w:cs="Arial"/>
                <w:sz w:val="24"/>
              </w:rPr>
            </w:pPr>
          </w:p>
        </w:tc>
        <w:tc>
          <w:tcPr>
            <w:tcW w:w="1260" w:type="dxa"/>
            <w:tcBorders>
              <w:top w:val="single" w:color="auto" w:sz="6" w:space="0"/>
              <w:left w:val="single" w:color="auto" w:sz="6" w:space="0"/>
              <w:bottom w:val="single" w:color="auto" w:sz="6" w:space="0"/>
              <w:right w:val="single" w:color="auto" w:sz="6" w:space="0"/>
            </w:tcBorders>
          </w:tcPr>
          <w:p w14:paraId="5A28924B">
            <w:pPr>
              <w:pStyle w:val="39"/>
              <w:spacing w:line="360" w:lineRule="auto"/>
              <w:rPr>
                <w:rFonts w:ascii="宋体" w:hAnsi="宋体" w:cs="Arial"/>
                <w:sz w:val="24"/>
              </w:rPr>
            </w:pPr>
          </w:p>
        </w:tc>
        <w:tc>
          <w:tcPr>
            <w:tcW w:w="1452" w:type="dxa"/>
            <w:tcBorders>
              <w:top w:val="single" w:color="auto" w:sz="6" w:space="0"/>
              <w:left w:val="single" w:color="auto" w:sz="6" w:space="0"/>
              <w:bottom w:val="single" w:color="auto" w:sz="6" w:space="0"/>
              <w:right w:val="single" w:color="auto" w:sz="6" w:space="0"/>
            </w:tcBorders>
          </w:tcPr>
          <w:p w14:paraId="71C7D26B">
            <w:pPr>
              <w:pStyle w:val="39"/>
              <w:spacing w:line="360" w:lineRule="auto"/>
              <w:rPr>
                <w:rFonts w:ascii="宋体" w:hAnsi="宋体" w:cs="Arial"/>
                <w:sz w:val="24"/>
              </w:rPr>
            </w:pPr>
          </w:p>
        </w:tc>
        <w:tc>
          <w:tcPr>
            <w:tcW w:w="1383" w:type="dxa"/>
            <w:tcBorders>
              <w:top w:val="single" w:color="auto" w:sz="6" w:space="0"/>
              <w:left w:val="single" w:color="auto" w:sz="6" w:space="0"/>
              <w:bottom w:val="single" w:color="auto" w:sz="6" w:space="0"/>
              <w:right w:val="single" w:color="auto" w:sz="6" w:space="0"/>
            </w:tcBorders>
          </w:tcPr>
          <w:p w14:paraId="74479D19">
            <w:pPr>
              <w:pStyle w:val="39"/>
              <w:spacing w:line="360" w:lineRule="auto"/>
              <w:rPr>
                <w:rFonts w:ascii="宋体" w:hAnsi="宋体" w:cs="Arial"/>
                <w:sz w:val="24"/>
              </w:rPr>
            </w:pPr>
          </w:p>
        </w:tc>
        <w:tc>
          <w:tcPr>
            <w:tcW w:w="2037" w:type="dxa"/>
            <w:tcBorders>
              <w:top w:val="single" w:color="auto" w:sz="6" w:space="0"/>
              <w:left w:val="single" w:color="auto" w:sz="6" w:space="0"/>
              <w:bottom w:val="single" w:color="auto" w:sz="6" w:space="0"/>
              <w:right w:val="single" w:color="auto" w:sz="6" w:space="0"/>
            </w:tcBorders>
          </w:tcPr>
          <w:p w14:paraId="3C390BB9">
            <w:pPr>
              <w:pStyle w:val="39"/>
              <w:spacing w:line="360" w:lineRule="auto"/>
              <w:rPr>
                <w:rFonts w:ascii="宋体" w:hAnsi="宋体" w:cs="Arial"/>
                <w:sz w:val="24"/>
              </w:rPr>
            </w:pPr>
          </w:p>
        </w:tc>
      </w:tr>
      <w:tr w14:paraId="74B545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1FDAEEB8">
            <w:pPr>
              <w:pStyle w:val="39"/>
              <w:spacing w:line="360" w:lineRule="auto"/>
              <w:rPr>
                <w:rFonts w:ascii="宋体" w:hAnsi="宋体" w:cs="Arial"/>
                <w:sz w:val="24"/>
              </w:rPr>
            </w:pPr>
          </w:p>
        </w:tc>
        <w:tc>
          <w:tcPr>
            <w:tcW w:w="1293" w:type="dxa"/>
            <w:tcBorders>
              <w:top w:val="single" w:color="auto" w:sz="6" w:space="0"/>
              <w:left w:val="single" w:color="auto" w:sz="6" w:space="0"/>
              <w:bottom w:val="single" w:color="auto" w:sz="6" w:space="0"/>
              <w:right w:val="single" w:color="auto" w:sz="6" w:space="0"/>
            </w:tcBorders>
          </w:tcPr>
          <w:p w14:paraId="25CA9841">
            <w:pPr>
              <w:pStyle w:val="39"/>
              <w:spacing w:line="360" w:lineRule="auto"/>
              <w:rPr>
                <w:rFonts w:ascii="宋体" w:hAnsi="宋体" w:cs="Arial"/>
                <w:sz w:val="24"/>
              </w:rPr>
            </w:pPr>
          </w:p>
        </w:tc>
        <w:tc>
          <w:tcPr>
            <w:tcW w:w="1575" w:type="dxa"/>
            <w:tcBorders>
              <w:top w:val="single" w:color="auto" w:sz="6" w:space="0"/>
              <w:left w:val="single" w:color="auto" w:sz="6" w:space="0"/>
              <w:bottom w:val="single" w:color="auto" w:sz="6" w:space="0"/>
              <w:right w:val="single" w:color="auto" w:sz="6" w:space="0"/>
            </w:tcBorders>
          </w:tcPr>
          <w:p w14:paraId="68663CB2">
            <w:pPr>
              <w:pStyle w:val="39"/>
              <w:spacing w:line="360" w:lineRule="auto"/>
              <w:rPr>
                <w:rFonts w:ascii="宋体" w:hAnsi="宋体" w:cs="Arial"/>
                <w:sz w:val="24"/>
              </w:rPr>
            </w:pPr>
          </w:p>
        </w:tc>
        <w:tc>
          <w:tcPr>
            <w:tcW w:w="1260" w:type="dxa"/>
            <w:tcBorders>
              <w:top w:val="single" w:color="auto" w:sz="6" w:space="0"/>
              <w:left w:val="single" w:color="auto" w:sz="6" w:space="0"/>
              <w:bottom w:val="single" w:color="auto" w:sz="6" w:space="0"/>
              <w:right w:val="single" w:color="auto" w:sz="6" w:space="0"/>
            </w:tcBorders>
          </w:tcPr>
          <w:p w14:paraId="66C44F63">
            <w:pPr>
              <w:pStyle w:val="39"/>
              <w:spacing w:line="360" w:lineRule="auto"/>
              <w:rPr>
                <w:rFonts w:ascii="宋体" w:hAnsi="宋体" w:cs="Arial"/>
                <w:sz w:val="24"/>
              </w:rPr>
            </w:pPr>
          </w:p>
        </w:tc>
        <w:tc>
          <w:tcPr>
            <w:tcW w:w="1452" w:type="dxa"/>
            <w:tcBorders>
              <w:top w:val="single" w:color="auto" w:sz="6" w:space="0"/>
              <w:left w:val="single" w:color="auto" w:sz="6" w:space="0"/>
              <w:bottom w:val="single" w:color="auto" w:sz="6" w:space="0"/>
              <w:right w:val="single" w:color="auto" w:sz="6" w:space="0"/>
            </w:tcBorders>
          </w:tcPr>
          <w:p w14:paraId="295C078F">
            <w:pPr>
              <w:pStyle w:val="39"/>
              <w:spacing w:line="360" w:lineRule="auto"/>
              <w:rPr>
                <w:rFonts w:ascii="宋体" w:hAnsi="宋体" w:cs="Arial"/>
                <w:sz w:val="24"/>
              </w:rPr>
            </w:pPr>
          </w:p>
        </w:tc>
        <w:tc>
          <w:tcPr>
            <w:tcW w:w="1383" w:type="dxa"/>
            <w:tcBorders>
              <w:top w:val="single" w:color="auto" w:sz="6" w:space="0"/>
              <w:left w:val="single" w:color="auto" w:sz="6" w:space="0"/>
              <w:bottom w:val="single" w:color="auto" w:sz="6" w:space="0"/>
              <w:right w:val="single" w:color="auto" w:sz="6" w:space="0"/>
            </w:tcBorders>
          </w:tcPr>
          <w:p w14:paraId="62F40667">
            <w:pPr>
              <w:pStyle w:val="39"/>
              <w:spacing w:line="360" w:lineRule="auto"/>
              <w:rPr>
                <w:rFonts w:ascii="宋体" w:hAnsi="宋体" w:cs="Arial"/>
                <w:sz w:val="24"/>
              </w:rPr>
            </w:pPr>
          </w:p>
        </w:tc>
        <w:tc>
          <w:tcPr>
            <w:tcW w:w="2037" w:type="dxa"/>
            <w:tcBorders>
              <w:top w:val="single" w:color="auto" w:sz="6" w:space="0"/>
              <w:left w:val="single" w:color="auto" w:sz="6" w:space="0"/>
              <w:bottom w:val="single" w:color="auto" w:sz="6" w:space="0"/>
              <w:right w:val="single" w:color="auto" w:sz="6" w:space="0"/>
            </w:tcBorders>
          </w:tcPr>
          <w:p w14:paraId="7562E062">
            <w:pPr>
              <w:pStyle w:val="39"/>
              <w:spacing w:line="360" w:lineRule="auto"/>
              <w:rPr>
                <w:rFonts w:ascii="宋体" w:hAnsi="宋体" w:cs="Arial"/>
                <w:sz w:val="24"/>
              </w:rPr>
            </w:pPr>
          </w:p>
        </w:tc>
      </w:tr>
      <w:tr w14:paraId="237736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7517A3B0">
            <w:pPr>
              <w:pStyle w:val="39"/>
              <w:spacing w:line="360" w:lineRule="auto"/>
              <w:rPr>
                <w:rFonts w:ascii="宋体" w:hAnsi="宋体" w:cs="Arial"/>
                <w:sz w:val="24"/>
              </w:rPr>
            </w:pPr>
          </w:p>
        </w:tc>
        <w:tc>
          <w:tcPr>
            <w:tcW w:w="1293" w:type="dxa"/>
            <w:tcBorders>
              <w:top w:val="single" w:color="auto" w:sz="6" w:space="0"/>
              <w:left w:val="single" w:color="auto" w:sz="6" w:space="0"/>
              <w:bottom w:val="single" w:color="auto" w:sz="6" w:space="0"/>
              <w:right w:val="single" w:color="auto" w:sz="6" w:space="0"/>
            </w:tcBorders>
          </w:tcPr>
          <w:p w14:paraId="6C7E7E54">
            <w:pPr>
              <w:pStyle w:val="39"/>
              <w:spacing w:line="360" w:lineRule="auto"/>
              <w:rPr>
                <w:rFonts w:ascii="宋体" w:hAnsi="宋体" w:cs="Arial"/>
                <w:sz w:val="24"/>
              </w:rPr>
            </w:pPr>
          </w:p>
        </w:tc>
        <w:tc>
          <w:tcPr>
            <w:tcW w:w="1575" w:type="dxa"/>
            <w:tcBorders>
              <w:top w:val="single" w:color="auto" w:sz="6" w:space="0"/>
              <w:left w:val="single" w:color="auto" w:sz="6" w:space="0"/>
              <w:bottom w:val="single" w:color="auto" w:sz="6" w:space="0"/>
              <w:right w:val="single" w:color="auto" w:sz="6" w:space="0"/>
            </w:tcBorders>
          </w:tcPr>
          <w:p w14:paraId="6EE1C095">
            <w:pPr>
              <w:pStyle w:val="39"/>
              <w:spacing w:line="360" w:lineRule="auto"/>
              <w:rPr>
                <w:rFonts w:ascii="宋体" w:hAnsi="宋体" w:cs="Arial"/>
                <w:sz w:val="24"/>
              </w:rPr>
            </w:pPr>
          </w:p>
        </w:tc>
        <w:tc>
          <w:tcPr>
            <w:tcW w:w="1260" w:type="dxa"/>
            <w:tcBorders>
              <w:top w:val="single" w:color="auto" w:sz="6" w:space="0"/>
              <w:left w:val="single" w:color="auto" w:sz="6" w:space="0"/>
              <w:bottom w:val="single" w:color="auto" w:sz="6" w:space="0"/>
              <w:right w:val="single" w:color="auto" w:sz="6" w:space="0"/>
            </w:tcBorders>
          </w:tcPr>
          <w:p w14:paraId="39A919BC">
            <w:pPr>
              <w:pStyle w:val="39"/>
              <w:spacing w:line="360" w:lineRule="auto"/>
              <w:rPr>
                <w:rFonts w:ascii="宋体" w:hAnsi="宋体" w:cs="Arial"/>
                <w:sz w:val="24"/>
              </w:rPr>
            </w:pPr>
          </w:p>
        </w:tc>
        <w:tc>
          <w:tcPr>
            <w:tcW w:w="1452" w:type="dxa"/>
            <w:tcBorders>
              <w:top w:val="single" w:color="auto" w:sz="6" w:space="0"/>
              <w:left w:val="single" w:color="auto" w:sz="6" w:space="0"/>
              <w:bottom w:val="single" w:color="auto" w:sz="6" w:space="0"/>
              <w:right w:val="single" w:color="auto" w:sz="6" w:space="0"/>
            </w:tcBorders>
          </w:tcPr>
          <w:p w14:paraId="048ADA3B">
            <w:pPr>
              <w:pStyle w:val="39"/>
              <w:spacing w:line="360" w:lineRule="auto"/>
              <w:rPr>
                <w:rFonts w:ascii="宋体" w:hAnsi="宋体" w:cs="Arial"/>
                <w:sz w:val="24"/>
              </w:rPr>
            </w:pPr>
          </w:p>
        </w:tc>
        <w:tc>
          <w:tcPr>
            <w:tcW w:w="1383" w:type="dxa"/>
            <w:tcBorders>
              <w:top w:val="single" w:color="auto" w:sz="6" w:space="0"/>
              <w:left w:val="single" w:color="auto" w:sz="6" w:space="0"/>
              <w:bottom w:val="single" w:color="auto" w:sz="6" w:space="0"/>
              <w:right w:val="single" w:color="auto" w:sz="6" w:space="0"/>
            </w:tcBorders>
          </w:tcPr>
          <w:p w14:paraId="7A3701B8">
            <w:pPr>
              <w:pStyle w:val="39"/>
              <w:spacing w:line="360" w:lineRule="auto"/>
              <w:rPr>
                <w:rFonts w:ascii="宋体" w:hAnsi="宋体" w:cs="Arial"/>
                <w:sz w:val="24"/>
              </w:rPr>
            </w:pPr>
          </w:p>
        </w:tc>
        <w:tc>
          <w:tcPr>
            <w:tcW w:w="2037" w:type="dxa"/>
            <w:tcBorders>
              <w:top w:val="single" w:color="auto" w:sz="6" w:space="0"/>
              <w:left w:val="single" w:color="auto" w:sz="6" w:space="0"/>
              <w:bottom w:val="single" w:color="auto" w:sz="6" w:space="0"/>
              <w:right w:val="single" w:color="auto" w:sz="6" w:space="0"/>
            </w:tcBorders>
          </w:tcPr>
          <w:p w14:paraId="561326CD">
            <w:pPr>
              <w:pStyle w:val="39"/>
              <w:spacing w:line="360" w:lineRule="auto"/>
              <w:rPr>
                <w:rFonts w:ascii="宋体" w:hAnsi="宋体" w:cs="Arial"/>
                <w:sz w:val="24"/>
              </w:rPr>
            </w:pPr>
          </w:p>
        </w:tc>
      </w:tr>
    </w:tbl>
    <w:p w14:paraId="2A3E6ACD">
      <w:pPr>
        <w:pStyle w:val="39"/>
        <w:tabs>
          <w:tab w:val="left" w:pos="1050"/>
          <w:tab w:val="left" w:pos="1838"/>
        </w:tabs>
        <w:spacing w:line="360" w:lineRule="auto"/>
        <w:ind w:left="2"/>
        <w:rPr>
          <w:rFonts w:ascii="宋体" w:hAnsi="宋体"/>
          <w:sz w:val="24"/>
        </w:rPr>
      </w:pPr>
      <w:r>
        <w:rPr>
          <w:rFonts w:hint="eastAsia" w:ascii="宋体" w:hAnsi="宋体"/>
          <w:sz w:val="24"/>
        </w:rPr>
        <w:t>填报要求：依据商务评审中的业绩要求填写本表并提供相关证明材料，合同可只提供首页、含金额页、盖章页。请供应商严格按照要求提交相关证明材料，否则有可能影响评审结果。</w:t>
      </w:r>
    </w:p>
    <w:p w14:paraId="37912C61"/>
    <w:p w14:paraId="1B8A6930"/>
    <w:p w14:paraId="08C2204B">
      <w:pPr>
        <w:sectPr>
          <w:pgSz w:w="11906" w:h="16838"/>
          <w:pgMar w:top="1440" w:right="1800" w:bottom="1440" w:left="1800" w:header="851" w:footer="992" w:gutter="0"/>
          <w:cols w:space="425" w:num="1"/>
          <w:docGrid w:type="lines" w:linePitch="312" w:charSpace="0"/>
        </w:sectPr>
      </w:pPr>
    </w:p>
    <w:p w14:paraId="0B594434">
      <w:pPr>
        <w:pStyle w:val="40"/>
        <w:pageBreakBefore/>
        <w:spacing w:line="360" w:lineRule="auto"/>
        <w:jc w:val="center"/>
        <w:rPr>
          <w:rFonts w:ascii="宋体" w:hAnsi="宋体" w:cs="Arial"/>
          <w:sz w:val="28"/>
          <w:szCs w:val="28"/>
        </w:rPr>
      </w:pPr>
      <w:r>
        <w:rPr>
          <w:rFonts w:hint="eastAsia" w:ascii="宋体" w:hAnsi="宋体"/>
          <w:b/>
          <w:sz w:val="28"/>
          <w:szCs w:val="28"/>
        </w:rPr>
        <w:t>证书一览表</w:t>
      </w:r>
    </w:p>
    <w:tbl>
      <w:tblPr>
        <w:tblStyle w:val="13"/>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7"/>
        <w:gridCol w:w="2549"/>
        <w:gridCol w:w="2551"/>
        <w:gridCol w:w="2313"/>
      </w:tblGrid>
      <w:tr w14:paraId="17A729C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107" w:type="dxa"/>
            <w:tcBorders>
              <w:top w:val="single" w:color="auto" w:sz="4" w:space="0"/>
              <w:left w:val="single" w:color="auto" w:sz="4" w:space="0"/>
              <w:bottom w:val="single" w:color="auto" w:sz="4" w:space="0"/>
              <w:right w:val="single" w:color="auto" w:sz="4" w:space="0"/>
            </w:tcBorders>
          </w:tcPr>
          <w:p w14:paraId="329BC044">
            <w:pPr>
              <w:pStyle w:val="40"/>
              <w:spacing w:line="360" w:lineRule="auto"/>
              <w:jc w:val="center"/>
              <w:rPr>
                <w:rFonts w:ascii="宋体" w:hAnsi="宋体" w:cs="Arial"/>
                <w:b/>
                <w:bCs/>
                <w:sz w:val="24"/>
                <w:szCs w:val="24"/>
              </w:rPr>
            </w:pPr>
            <w:r>
              <w:rPr>
                <w:rFonts w:hint="eastAsia" w:ascii="宋体" w:hAnsi="宋体" w:cs="Arial"/>
                <w:b/>
                <w:bCs/>
                <w:sz w:val="24"/>
                <w:szCs w:val="24"/>
              </w:rPr>
              <w:t>证书名称</w:t>
            </w:r>
          </w:p>
        </w:tc>
        <w:tc>
          <w:tcPr>
            <w:tcW w:w="2549" w:type="dxa"/>
            <w:tcBorders>
              <w:top w:val="single" w:color="auto" w:sz="4" w:space="0"/>
              <w:left w:val="single" w:color="auto" w:sz="4" w:space="0"/>
              <w:bottom w:val="single" w:color="auto" w:sz="4" w:space="0"/>
              <w:right w:val="single" w:color="auto" w:sz="4" w:space="0"/>
            </w:tcBorders>
          </w:tcPr>
          <w:p w14:paraId="53B4201A">
            <w:pPr>
              <w:pStyle w:val="40"/>
              <w:spacing w:line="360" w:lineRule="auto"/>
              <w:jc w:val="center"/>
              <w:rPr>
                <w:rFonts w:ascii="宋体" w:hAnsi="宋体" w:cs="Arial"/>
                <w:b/>
                <w:bCs/>
                <w:sz w:val="24"/>
                <w:szCs w:val="24"/>
              </w:rPr>
            </w:pPr>
            <w:r>
              <w:rPr>
                <w:rFonts w:hint="eastAsia" w:ascii="宋体" w:hAnsi="宋体" w:cs="Arial"/>
                <w:b/>
                <w:bCs/>
                <w:sz w:val="24"/>
                <w:szCs w:val="24"/>
              </w:rPr>
              <w:t>发证单位</w:t>
            </w:r>
          </w:p>
        </w:tc>
        <w:tc>
          <w:tcPr>
            <w:tcW w:w="2551" w:type="dxa"/>
            <w:tcBorders>
              <w:top w:val="single" w:color="auto" w:sz="4" w:space="0"/>
              <w:left w:val="single" w:color="auto" w:sz="4" w:space="0"/>
              <w:bottom w:val="single" w:color="auto" w:sz="4" w:space="0"/>
              <w:right w:val="single" w:color="auto" w:sz="4" w:space="0"/>
            </w:tcBorders>
          </w:tcPr>
          <w:p w14:paraId="767ED69B">
            <w:pPr>
              <w:pStyle w:val="40"/>
              <w:spacing w:line="360" w:lineRule="auto"/>
              <w:jc w:val="center"/>
              <w:rPr>
                <w:rFonts w:ascii="宋体" w:hAnsi="宋体" w:cs="Arial"/>
                <w:b/>
                <w:bCs/>
                <w:sz w:val="24"/>
                <w:szCs w:val="24"/>
              </w:rPr>
            </w:pPr>
            <w:r>
              <w:rPr>
                <w:rFonts w:hint="eastAsia" w:ascii="宋体" w:hAnsi="宋体" w:cs="Arial"/>
                <w:b/>
                <w:bCs/>
                <w:sz w:val="24"/>
                <w:szCs w:val="24"/>
              </w:rPr>
              <w:t>证书等级</w:t>
            </w:r>
          </w:p>
        </w:tc>
        <w:tc>
          <w:tcPr>
            <w:tcW w:w="2313" w:type="dxa"/>
            <w:tcBorders>
              <w:top w:val="single" w:color="auto" w:sz="4" w:space="0"/>
              <w:left w:val="single" w:color="auto" w:sz="4" w:space="0"/>
              <w:bottom w:val="single" w:color="auto" w:sz="4" w:space="0"/>
              <w:right w:val="single" w:color="auto" w:sz="4" w:space="0"/>
            </w:tcBorders>
          </w:tcPr>
          <w:p w14:paraId="4BF38883">
            <w:pPr>
              <w:pStyle w:val="40"/>
              <w:spacing w:line="360" w:lineRule="auto"/>
              <w:jc w:val="center"/>
              <w:rPr>
                <w:rFonts w:ascii="宋体" w:hAnsi="宋体" w:cs="Arial"/>
                <w:b/>
                <w:bCs/>
                <w:sz w:val="24"/>
                <w:szCs w:val="24"/>
              </w:rPr>
            </w:pPr>
            <w:r>
              <w:rPr>
                <w:rFonts w:hint="eastAsia" w:ascii="宋体" w:hAnsi="宋体" w:cs="Arial"/>
                <w:b/>
                <w:bCs/>
                <w:sz w:val="24"/>
                <w:szCs w:val="24"/>
              </w:rPr>
              <w:t>证书有效期</w:t>
            </w:r>
          </w:p>
        </w:tc>
      </w:tr>
      <w:tr w14:paraId="14AA6A9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07" w:type="dxa"/>
            <w:tcBorders>
              <w:top w:val="single" w:color="auto" w:sz="4" w:space="0"/>
              <w:left w:val="single" w:color="auto" w:sz="4" w:space="0"/>
              <w:bottom w:val="single" w:color="auto" w:sz="4" w:space="0"/>
              <w:right w:val="single" w:color="auto" w:sz="4" w:space="0"/>
            </w:tcBorders>
          </w:tcPr>
          <w:p w14:paraId="475E680F">
            <w:pPr>
              <w:pStyle w:val="40"/>
              <w:spacing w:line="360" w:lineRule="auto"/>
              <w:jc w:val="center"/>
              <w:rPr>
                <w:rFonts w:ascii="宋体" w:hAnsi="宋体" w:cs="Arial"/>
                <w:szCs w:val="21"/>
              </w:rPr>
            </w:pPr>
          </w:p>
        </w:tc>
        <w:tc>
          <w:tcPr>
            <w:tcW w:w="2549" w:type="dxa"/>
            <w:tcBorders>
              <w:top w:val="single" w:color="auto" w:sz="4" w:space="0"/>
              <w:left w:val="single" w:color="auto" w:sz="4" w:space="0"/>
              <w:bottom w:val="single" w:color="auto" w:sz="4" w:space="0"/>
              <w:right w:val="single" w:color="auto" w:sz="4" w:space="0"/>
            </w:tcBorders>
          </w:tcPr>
          <w:p w14:paraId="363B7359">
            <w:pPr>
              <w:pStyle w:val="40"/>
              <w:spacing w:line="360" w:lineRule="auto"/>
              <w:jc w:val="center"/>
              <w:rPr>
                <w:rFonts w:ascii="宋体" w:hAnsi="宋体" w:cs="Arial"/>
                <w:szCs w:val="21"/>
              </w:rPr>
            </w:pPr>
          </w:p>
        </w:tc>
        <w:tc>
          <w:tcPr>
            <w:tcW w:w="2551" w:type="dxa"/>
            <w:tcBorders>
              <w:top w:val="single" w:color="auto" w:sz="4" w:space="0"/>
              <w:left w:val="single" w:color="auto" w:sz="4" w:space="0"/>
              <w:bottom w:val="single" w:color="auto" w:sz="4" w:space="0"/>
              <w:right w:val="single" w:color="auto" w:sz="4" w:space="0"/>
            </w:tcBorders>
          </w:tcPr>
          <w:p w14:paraId="755B2D5B">
            <w:pPr>
              <w:pStyle w:val="40"/>
              <w:spacing w:line="360" w:lineRule="auto"/>
              <w:jc w:val="center"/>
              <w:rPr>
                <w:rFonts w:ascii="宋体" w:hAnsi="宋体" w:cs="Arial"/>
                <w:szCs w:val="21"/>
              </w:rPr>
            </w:pPr>
          </w:p>
        </w:tc>
        <w:tc>
          <w:tcPr>
            <w:tcW w:w="2313" w:type="dxa"/>
            <w:tcBorders>
              <w:top w:val="single" w:color="auto" w:sz="4" w:space="0"/>
              <w:left w:val="single" w:color="auto" w:sz="4" w:space="0"/>
              <w:bottom w:val="single" w:color="auto" w:sz="4" w:space="0"/>
              <w:right w:val="single" w:color="auto" w:sz="4" w:space="0"/>
            </w:tcBorders>
          </w:tcPr>
          <w:p w14:paraId="151F8C37">
            <w:pPr>
              <w:pStyle w:val="40"/>
              <w:spacing w:line="360" w:lineRule="auto"/>
              <w:jc w:val="center"/>
              <w:rPr>
                <w:rFonts w:ascii="宋体" w:hAnsi="宋体" w:cs="Arial"/>
                <w:szCs w:val="21"/>
              </w:rPr>
            </w:pPr>
          </w:p>
        </w:tc>
      </w:tr>
      <w:tr w14:paraId="3B01644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07" w:type="dxa"/>
            <w:tcBorders>
              <w:top w:val="single" w:color="auto" w:sz="4" w:space="0"/>
              <w:left w:val="single" w:color="auto" w:sz="4" w:space="0"/>
              <w:bottom w:val="single" w:color="auto" w:sz="4" w:space="0"/>
              <w:right w:val="single" w:color="auto" w:sz="4" w:space="0"/>
            </w:tcBorders>
          </w:tcPr>
          <w:p w14:paraId="1D550132">
            <w:pPr>
              <w:pStyle w:val="40"/>
              <w:spacing w:line="360" w:lineRule="auto"/>
              <w:jc w:val="center"/>
              <w:rPr>
                <w:rFonts w:ascii="宋体" w:hAnsi="宋体" w:cs="Arial"/>
                <w:szCs w:val="21"/>
              </w:rPr>
            </w:pPr>
          </w:p>
        </w:tc>
        <w:tc>
          <w:tcPr>
            <w:tcW w:w="2549" w:type="dxa"/>
            <w:tcBorders>
              <w:top w:val="single" w:color="auto" w:sz="4" w:space="0"/>
              <w:left w:val="single" w:color="auto" w:sz="4" w:space="0"/>
              <w:bottom w:val="single" w:color="auto" w:sz="4" w:space="0"/>
              <w:right w:val="single" w:color="auto" w:sz="4" w:space="0"/>
            </w:tcBorders>
          </w:tcPr>
          <w:p w14:paraId="60F762FA">
            <w:pPr>
              <w:pStyle w:val="40"/>
              <w:spacing w:line="360" w:lineRule="auto"/>
              <w:jc w:val="center"/>
              <w:rPr>
                <w:rFonts w:ascii="宋体" w:hAnsi="宋体" w:cs="Arial"/>
                <w:szCs w:val="21"/>
              </w:rPr>
            </w:pPr>
          </w:p>
        </w:tc>
        <w:tc>
          <w:tcPr>
            <w:tcW w:w="2551" w:type="dxa"/>
            <w:tcBorders>
              <w:top w:val="single" w:color="auto" w:sz="4" w:space="0"/>
              <w:left w:val="single" w:color="auto" w:sz="4" w:space="0"/>
              <w:bottom w:val="single" w:color="auto" w:sz="4" w:space="0"/>
              <w:right w:val="single" w:color="auto" w:sz="4" w:space="0"/>
            </w:tcBorders>
          </w:tcPr>
          <w:p w14:paraId="7E52CAEA">
            <w:pPr>
              <w:pStyle w:val="40"/>
              <w:spacing w:line="360" w:lineRule="auto"/>
              <w:jc w:val="center"/>
              <w:rPr>
                <w:rFonts w:ascii="宋体" w:hAnsi="宋体" w:cs="Arial"/>
                <w:szCs w:val="21"/>
              </w:rPr>
            </w:pPr>
          </w:p>
        </w:tc>
        <w:tc>
          <w:tcPr>
            <w:tcW w:w="2313" w:type="dxa"/>
            <w:tcBorders>
              <w:top w:val="single" w:color="auto" w:sz="4" w:space="0"/>
              <w:left w:val="single" w:color="auto" w:sz="4" w:space="0"/>
              <w:bottom w:val="single" w:color="auto" w:sz="4" w:space="0"/>
              <w:right w:val="single" w:color="auto" w:sz="4" w:space="0"/>
            </w:tcBorders>
          </w:tcPr>
          <w:p w14:paraId="5ABCDCDD">
            <w:pPr>
              <w:pStyle w:val="40"/>
              <w:spacing w:line="360" w:lineRule="auto"/>
              <w:jc w:val="center"/>
              <w:rPr>
                <w:rFonts w:ascii="宋体" w:hAnsi="宋体" w:cs="Arial"/>
                <w:szCs w:val="21"/>
              </w:rPr>
            </w:pPr>
          </w:p>
        </w:tc>
      </w:tr>
      <w:tr w14:paraId="723664C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07" w:type="dxa"/>
            <w:tcBorders>
              <w:top w:val="single" w:color="auto" w:sz="4" w:space="0"/>
              <w:left w:val="single" w:color="auto" w:sz="4" w:space="0"/>
              <w:bottom w:val="single" w:color="auto" w:sz="4" w:space="0"/>
              <w:right w:val="single" w:color="auto" w:sz="4" w:space="0"/>
            </w:tcBorders>
          </w:tcPr>
          <w:p w14:paraId="0C884CC0">
            <w:pPr>
              <w:pStyle w:val="40"/>
              <w:spacing w:line="360" w:lineRule="auto"/>
              <w:jc w:val="center"/>
              <w:rPr>
                <w:rFonts w:ascii="宋体" w:hAnsi="宋体" w:cs="Arial"/>
                <w:szCs w:val="21"/>
              </w:rPr>
            </w:pPr>
          </w:p>
        </w:tc>
        <w:tc>
          <w:tcPr>
            <w:tcW w:w="2549" w:type="dxa"/>
            <w:tcBorders>
              <w:top w:val="single" w:color="auto" w:sz="4" w:space="0"/>
              <w:left w:val="single" w:color="auto" w:sz="4" w:space="0"/>
              <w:bottom w:val="single" w:color="auto" w:sz="4" w:space="0"/>
              <w:right w:val="single" w:color="auto" w:sz="4" w:space="0"/>
            </w:tcBorders>
          </w:tcPr>
          <w:p w14:paraId="192BF198">
            <w:pPr>
              <w:pStyle w:val="40"/>
              <w:spacing w:line="360" w:lineRule="auto"/>
              <w:jc w:val="center"/>
              <w:rPr>
                <w:rFonts w:ascii="宋体" w:hAnsi="宋体" w:cs="Arial"/>
                <w:szCs w:val="21"/>
              </w:rPr>
            </w:pPr>
          </w:p>
        </w:tc>
        <w:tc>
          <w:tcPr>
            <w:tcW w:w="2551" w:type="dxa"/>
            <w:tcBorders>
              <w:top w:val="single" w:color="auto" w:sz="4" w:space="0"/>
              <w:left w:val="single" w:color="auto" w:sz="4" w:space="0"/>
              <w:bottom w:val="single" w:color="auto" w:sz="4" w:space="0"/>
              <w:right w:val="single" w:color="auto" w:sz="4" w:space="0"/>
            </w:tcBorders>
          </w:tcPr>
          <w:p w14:paraId="3FCC384C">
            <w:pPr>
              <w:pStyle w:val="40"/>
              <w:spacing w:line="360" w:lineRule="auto"/>
              <w:jc w:val="center"/>
              <w:rPr>
                <w:rFonts w:ascii="宋体" w:hAnsi="宋体" w:cs="Arial"/>
                <w:szCs w:val="21"/>
              </w:rPr>
            </w:pPr>
          </w:p>
        </w:tc>
        <w:tc>
          <w:tcPr>
            <w:tcW w:w="2313" w:type="dxa"/>
            <w:tcBorders>
              <w:top w:val="single" w:color="auto" w:sz="4" w:space="0"/>
              <w:left w:val="single" w:color="auto" w:sz="4" w:space="0"/>
              <w:bottom w:val="single" w:color="auto" w:sz="4" w:space="0"/>
              <w:right w:val="single" w:color="auto" w:sz="4" w:space="0"/>
            </w:tcBorders>
          </w:tcPr>
          <w:p w14:paraId="53B72EB7">
            <w:pPr>
              <w:pStyle w:val="40"/>
              <w:spacing w:line="360" w:lineRule="auto"/>
              <w:jc w:val="center"/>
              <w:rPr>
                <w:rFonts w:ascii="宋体" w:hAnsi="宋体" w:cs="Arial"/>
                <w:szCs w:val="21"/>
              </w:rPr>
            </w:pPr>
          </w:p>
        </w:tc>
      </w:tr>
      <w:tr w14:paraId="6382C77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07" w:type="dxa"/>
            <w:tcBorders>
              <w:top w:val="single" w:color="auto" w:sz="4" w:space="0"/>
              <w:left w:val="single" w:color="auto" w:sz="4" w:space="0"/>
              <w:bottom w:val="single" w:color="auto" w:sz="4" w:space="0"/>
              <w:right w:val="single" w:color="auto" w:sz="4" w:space="0"/>
            </w:tcBorders>
          </w:tcPr>
          <w:p w14:paraId="34B0A950">
            <w:pPr>
              <w:pStyle w:val="40"/>
              <w:spacing w:line="360" w:lineRule="auto"/>
              <w:jc w:val="center"/>
              <w:rPr>
                <w:rFonts w:ascii="宋体" w:hAnsi="宋体" w:cs="Arial"/>
                <w:szCs w:val="21"/>
              </w:rPr>
            </w:pPr>
          </w:p>
        </w:tc>
        <w:tc>
          <w:tcPr>
            <w:tcW w:w="2549" w:type="dxa"/>
            <w:tcBorders>
              <w:top w:val="single" w:color="auto" w:sz="4" w:space="0"/>
              <w:left w:val="single" w:color="auto" w:sz="4" w:space="0"/>
              <w:bottom w:val="single" w:color="auto" w:sz="4" w:space="0"/>
              <w:right w:val="single" w:color="auto" w:sz="4" w:space="0"/>
            </w:tcBorders>
          </w:tcPr>
          <w:p w14:paraId="352C07F2">
            <w:pPr>
              <w:pStyle w:val="40"/>
              <w:spacing w:line="360" w:lineRule="auto"/>
              <w:jc w:val="center"/>
              <w:rPr>
                <w:rFonts w:ascii="宋体" w:hAnsi="宋体" w:cs="Arial"/>
                <w:szCs w:val="21"/>
              </w:rPr>
            </w:pPr>
          </w:p>
        </w:tc>
        <w:tc>
          <w:tcPr>
            <w:tcW w:w="2551" w:type="dxa"/>
            <w:tcBorders>
              <w:top w:val="single" w:color="auto" w:sz="4" w:space="0"/>
              <w:left w:val="single" w:color="auto" w:sz="4" w:space="0"/>
              <w:bottom w:val="single" w:color="auto" w:sz="4" w:space="0"/>
              <w:right w:val="single" w:color="auto" w:sz="4" w:space="0"/>
            </w:tcBorders>
          </w:tcPr>
          <w:p w14:paraId="17BD56FC">
            <w:pPr>
              <w:pStyle w:val="40"/>
              <w:spacing w:line="360" w:lineRule="auto"/>
              <w:jc w:val="center"/>
              <w:rPr>
                <w:rFonts w:ascii="宋体" w:hAnsi="宋体" w:cs="Arial"/>
                <w:szCs w:val="21"/>
              </w:rPr>
            </w:pPr>
          </w:p>
        </w:tc>
        <w:tc>
          <w:tcPr>
            <w:tcW w:w="2313" w:type="dxa"/>
            <w:tcBorders>
              <w:top w:val="single" w:color="auto" w:sz="4" w:space="0"/>
              <w:left w:val="single" w:color="auto" w:sz="4" w:space="0"/>
              <w:bottom w:val="single" w:color="auto" w:sz="4" w:space="0"/>
              <w:right w:val="single" w:color="auto" w:sz="4" w:space="0"/>
            </w:tcBorders>
          </w:tcPr>
          <w:p w14:paraId="741C624F">
            <w:pPr>
              <w:pStyle w:val="40"/>
              <w:spacing w:line="360" w:lineRule="auto"/>
              <w:jc w:val="center"/>
              <w:rPr>
                <w:rFonts w:ascii="宋体" w:hAnsi="宋体" w:cs="Arial"/>
                <w:szCs w:val="21"/>
              </w:rPr>
            </w:pPr>
          </w:p>
        </w:tc>
      </w:tr>
      <w:tr w14:paraId="0590078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07" w:type="dxa"/>
            <w:tcBorders>
              <w:top w:val="single" w:color="auto" w:sz="4" w:space="0"/>
              <w:left w:val="single" w:color="auto" w:sz="4" w:space="0"/>
              <w:bottom w:val="single" w:color="auto" w:sz="4" w:space="0"/>
              <w:right w:val="single" w:color="auto" w:sz="4" w:space="0"/>
            </w:tcBorders>
          </w:tcPr>
          <w:p w14:paraId="5F47D508">
            <w:pPr>
              <w:pStyle w:val="40"/>
              <w:spacing w:line="360" w:lineRule="auto"/>
              <w:jc w:val="center"/>
              <w:rPr>
                <w:rFonts w:ascii="宋体" w:hAnsi="宋体" w:cs="Arial"/>
                <w:szCs w:val="21"/>
              </w:rPr>
            </w:pPr>
          </w:p>
        </w:tc>
        <w:tc>
          <w:tcPr>
            <w:tcW w:w="2549" w:type="dxa"/>
            <w:tcBorders>
              <w:top w:val="single" w:color="auto" w:sz="4" w:space="0"/>
              <w:left w:val="single" w:color="auto" w:sz="4" w:space="0"/>
              <w:bottom w:val="single" w:color="auto" w:sz="4" w:space="0"/>
              <w:right w:val="single" w:color="auto" w:sz="4" w:space="0"/>
            </w:tcBorders>
          </w:tcPr>
          <w:p w14:paraId="5A71EB3C">
            <w:pPr>
              <w:pStyle w:val="40"/>
              <w:spacing w:line="360" w:lineRule="auto"/>
              <w:jc w:val="center"/>
              <w:rPr>
                <w:rFonts w:ascii="宋体" w:hAnsi="宋体" w:cs="Arial"/>
                <w:szCs w:val="21"/>
              </w:rPr>
            </w:pPr>
          </w:p>
        </w:tc>
        <w:tc>
          <w:tcPr>
            <w:tcW w:w="2551" w:type="dxa"/>
            <w:tcBorders>
              <w:top w:val="single" w:color="auto" w:sz="4" w:space="0"/>
              <w:left w:val="single" w:color="auto" w:sz="4" w:space="0"/>
              <w:bottom w:val="single" w:color="auto" w:sz="4" w:space="0"/>
              <w:right w:val="single" w:color="auto" w:sz="4" w:space="0"/>
            </w:tcBorders>
          </w:tcPr>
          <w:p w14:paraId="5B658EC5">
            <w:pPr>
              <w:pStyle w:val="40"/>
              <w:spacing w:line="360" w:lineRule="auto"/>
              <w:jc w:val="center"/>
              <w:rPr>
                <w:rFonts w:ascii="宋体" w:hAnsi="宋体" w:cs="Arial"/>
                <w:szCs w:val="21"/>
              </w:rPr>
            </w:pPr>
          </w:p>
        </w:tc>
        <w:tc>
          <w:tcPr>
            <w:tcW w:w="2313" w:type="dxa"/>
            <w:tcBorders>
              <w:top w:val="single" w:color="auto" w:sz="4" w:space="0"/>
              <w:left w:val="single" w:color="auto" w:sz="4" w:space="0"/>
              <w:bottom w:val="single" w:color="auto" w:sz="4" w:space="0"/>
              <w:right w:val="single" w:color="auto" w:sz="4" w:space="0"/>
            </w:tcBorders>
          </w:tcPr>
          <w:p w14:paraId="480B1E60">
            <w:pPr>
              <w:pStyle w:val="40"/>
              <w:spacing w:line="360" w:lineRule="auto"/>
              <w:jc w:val="center"/>
              <w:rPr>
                <w:rFonts w:ascii="宋体" w:hAnsi="宋体" w:cs="Arial"/>
                <w:szCs w:val="21"/>
              </w:rPr>
            </w:pPr>
          </w:p>
        </w:tc>
      </w:tr>
      <w:tr w14:paraId="08C32FE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07" w:type="dxa"/>
            <w:tcBorders>
              <w:top w:val="single" w:color="auto" w:sz="4" w:space="0"/>
              <w:left w:val="single" w:color="auto" w:sz="4" w:space="0"/>
              <w:bottom w:val="single" w:color="auto" w:sz="4" w:space="0"/>
              <w:right w:val="single" w:color="auto" w:sz="4" w:space="0"/>
            </w:tcBorders>
          </w:tcPr>
          <w:p w14:paraId="28DF2B14">
            <w:pPr>
              <w:pStyle w:val="40"/>
              <w:spacing w:line="360" w:lineRule="auto"/>
              <w:jc w:val="center"/>
              <w:rPr>
                <w:rFonts w:ascii="宋体" w:hAnsi="宋体" w:cs="Arial"/>
                <w:szCs w:val="21"/>
              </w:rPr>
            </w:pPr>
          </w:p>
        </w:tc>
        <w:tc>
          <w:tcPr>
            <w:tcW w:w="2549" w:type="dxa"/>
            <w:tcBorders>
              <w:top w:val="single" w:color="auto" w:sz="4" w:space="0"/>
              <w:left w:val="single" w:color="auto" w:sz="4" w:space="0"/>
              <w:bottom w:val="single" w:color="auto" w:sz="4" w:space="0"/>
              <w:right w:val="single" w:color="auto" w:sz="4" w:space="0"/>
            </w:tcBorders>
          </w:tcPr>
          <w:p w14:paraId="5801F823">
            <w:pPr>
              <w:pStyle w:val="40"/>
              <w:spacing w:line="360" w:lineRule="auto"/>
              <w:jc w:val="center"/>
              <w:rPr>
                <w:rFonts w:ascii="宋体" w:hAnsi="宋体" w:cs="Arial"/>
                <w:szCs w:val="21"/>
              </w:rPr>
            </w:pPr>
          </w:p>
        </w:tc>
        <w:tc>
          <w:tcPr>
            <w:tcW w:w="2551" w:type="dxa"/>
            <w:tcBorders>
              <w:top w:val="single" w:color="auto" w:sz="4" w:space="0"/>
              <w:left w:val="single" w:color="auto" w:sz="4" w:space="0"/>
              <w:bottom w:val="single" w:color="auto" w:sz="4" w:space="0"/>
              <w:right w:val="single" w:color="auto" w:sz="4" w:space="0"/>
            </w:tcBorders>
          </w:tcPr>
          <w:p w14:paraId="77B98241">
            <w:pPr>
              <w:pStyle w:val="40"/>
              <w:spacing w:line="360" w:lineRule="auto"/>
              <w:jc w:val="center"/>
              <w:rPr>
                <w:rFonts w:ascii="宋体" w:hAnsi="宋体" w:cs="Arial"/>
                <w:szCs w:val="21"/>
              </w:rPr>
            </w:pPr>
          </w:p>
        </w:tc>
        <w:tc>
          <w:tcPr>
            <w:tcW w:w="2313" w:type="dxa"/>
            <w:tcBorders>
              <w:top w:val="single" w:color="auto" w:sz="4" w:space="0"/>
              <w:left w:val="single" w:color="auto" w:sz="4" w:space="0"/>
              <w:bottom w:val="single" w:color="auto" w:sz="4" w:space="0"/>
              <w:right w:val="single" w:color="auto" w:sz="4" w:space="0"/>
            </w:tcBorders>
          </w:tcPr>
          <w:p w14:paraId="30FA0364">
            <w:pPr>
              <w:pStyle w:val="40"/>
              <w:spacing w:line="360" w:lineRule="auto"/>
              <w:jc w:val="center"/>
              <w:rPr>
                <w:rFonts w:ascii="宋体" w:hAnsi="宋体" w:cs="Arial"/>
                <w:szCs w:val="21"/>
              </w:rPr>
            </w:pPr>
          </w:p>
        </w:tc>
      </w:tr>
    </w:tbl>
    <w:p w14:paraId="63A541DE">
      <w:pPr>
        <w:pStyle w:val="40"/>
        <w:tabs>
          <w:tab w:val="left" w:pos="1050"/>
        </w:tabs>
        <w:spacing w:line="360" w:lineRule="auto"/>
        <w:jc w:val="both"/>
        <w:rPr>
          <w:rFonts w:ascii="宋体" w:hAnsi="宋体"/>
          <w:sz w:val="24"/>
          <w:szCs w:val="24"/>
        </w:rPr>
      </w:pPr>
      <w:r>
        <w:rPr>
          <w:rFonts w:hint="eastAsia" w:ascii="宋体" w:hAnsi="宋体"/>
          <w:sz w:val="24"/>
          <w:szCs w:val="24"/>
        </w:rPr>
        <w:t>填报要求：</w:t>
      </w:r>
    </w:p>
    <w:p w14:paraId="663E8976">
      <w:pPr>
        <w:pStyle w:val="40"/>
        <w:tabs>
          <w:tab w:val="left" w:pos="1050"/>
        </w:tabs>
        <w:spacing w:line="360" w:lineRule="auto"/>
        <w:jc w:val="both"/>
        <w:rPr>
          <w:rFonts w:ascii="宋体" w:hAnsi="宋体"/>
          <w:sz w:val="24"/>
          <w:szCs w:val="24"/>
        </w:rPr>
      </w:pPr>
      <w:r>
        <w:rPr>
          <w:rFonts w:hint="eastAsia" w:ascii="宋体" w:hAnsi="宋体"/>
          <w:sz w:val="24"/>
          <w:szCs w:val="24"/>
        </w:rPr>
        <w:t xml:space="preserve">    1.填写供应商的获得资质、认证或企业信誉证书。</w:t>
      </w:r>
      <w:r>
        <w:rPr>
          <w:rFonts w:hint="eastAsia" w:ascii="宋体" w:hAnsi="宋体"/>
          <w:color w:val="0000FF"/>
          <w:sz w:val="24"/>
          <w:szCs w:val="24"/>
        </w:rPr>
        <w:t>（或根据评分项对应内容的要求填写）</w:t>
      </w:r>
    </w:p>
    <w:p w14:paraId="2C02A888">
      <w:pPr>
        <w:spacing w:line="360" w:lineRule="auto"/>
        <w:rPr>
          <w:rFonts w:ascii="宋体" w:hAnsi="宋体"/>
          <w:sz w:val="24"/>
          <w:szCs w:val="24"/>
        </w:rPr>
      </w:pPr>
      <w:r>
        <w:rPr>
          <w:rFonts w:hint="eastAsia" w:ascii="宋体" w:hAnsi="宋体"/>
          <w:sz w:val="24"/>
          <w:szCs w:val="24"/>
        </w:rPr>
        <w:t xml:space="preserve">    2.请提供本表所列的证书资料。</w:t>
      </w:r>
    </w:p>
    <w:p w14:paraId="0644318A"/>
    <w:p w14:paraId="429D2424">
      <w:pPr>
        <w:sectPr>
          <w:pgSz w:w="11906" w:h="16838"/>
          <w:pgMar w:top="1440" w:right="1800" w:bottom="1440" w:left="1800" w:header="851" w:footer="992" w:gutter="0"/>
          <w:cols w:space="425" w:num="1"/>
          <w:docGrid w:type="lines" w:linePitch="312" w:charSpace="0"/>
        </w:sectPr>
      </w:pPr>
    </w:p>
    <w:p w14:paraId="3A3602CF">
      <w:pPr>
        <w:jc w:val="center"/>
        <w:outlineLvl w:val="1"/>
        <w:rPr>
          <w:rFonts w:ascii="宋体" w:hAnsi="宋体" w:eastAsia="宋体"/>
          <w:b/>
          <w:sz w:val="24"/>
        </w:rPr>
      </w:pPr>
      <w:r>
        <w:rPr>
          <w:rFonts w:ascii="宋体" w:hAnsi="宋体" w:eastAsia="宋体"/>
          <w:b/>
          <w:sz w:val="24"/>
        </w:rPr>
        <w:t>技术文件</w:t>
      </w:r>
    </w:p>
    <w:p w14:paraId="3E1C6127">
      <w:pPr>
        <w:pStyle w:val="41"/>
        <w:spacing w:line="360" w:lineRule="auto"/>
        <w:ind w:left="420"/>
        <w:jc w:val="center"/>
        <w:rPr>
          <w:rFonts w:ascii="宋体" w:hAnsi="宋体"/>
          <w:b/>
          <w:sz w:val="28"/>
          <w:szCs w:val="28"/>
          <w:lang w:val="en-GB"/>
        </w:rPr>
      </w:pPr>
      <w:r>
        <w:rPr>
          <w:rFonts w:hint="eastAsia" w:ascii="宋体" w:hAnsi="宋体"/>
          <w:b/>
          <w:sz w:val="28"/>
          <w:szCs w:val="28"/>
        </w:rPr>
        <w:t>服务方案一般性条款响应差异表</w:t>
      </w:r>
    </w:p>
    <w:tbl>
      <w:tblPr>
        <w:tblStyle w:val="13"/>
        <w:tblW w:w="0" w:type="auto"/>
        <w:tblInd w:w="0" w:type="dxa"/>
        <w:tblLayout w:type="fixed"/>
        <w:tblCellMar>
          <w:top w:w="0" w:type="dxa"/>
          <w:left w:w="30" w:type="dxa"/>
          <w:bottom w:w="0" w:type="dxa"/>
          <w:right w:w="30" w:type="dxa"/>
        </w:tblCellMar>
      </w:tblPr>
      <w:tblGrid>
        <w:gridCol w:w="750"/>
        <w:gridCol w:w="4125"/>
        <w:gridCol w:w="1995"/>
        <w:gridCol w:w="2520"/>
      </w:tblGrid>
      <w:tr w14:paraId="6270650C">
        <w:tblPrEx>
          <w:tblCellMar>
            <w:top w:w="0" w:type="dxa"/>
            <w:left w:w="30" w:type="dxa"/>
            <w:bottom w:w="0" w:type="dxa"/>
            <w:right w:w="30" w:type="dxa"/>
          </w:tblCellMar>
        </w:tblPrEx>
        <w:trPr>
          <w:trHeight w:val="454" w:hRule="exact"/>
        </w:trPr>
        <w:tc>
          <w:tcPr>
            <w:tcW w:w="4875" w:type="dxa"/>
            <w:gridSpan w:val="2"/>
            <w:tcBorders>
              <w:top w:val="single" w:color="auto" w:sz="4" w:space="0"/>
              <w:left w:val="single" w:color="auto" w:sz="4" w:space="0"/>
              <w:right w:val="single" w:color="000000" w:sz="2" w:space="0"/>
            </w:tcBorders>
            <w:vAlign w:val="center"/>
          </w:tcPr>
          <w:p w14:paraId="08B8D302">
            <w:pPr>
              <w:pStyle w:val="41"/>
              <w:autoSpaceDE w:val="0"/>
              <w:autoSpaceDN w:val="0"/>
              <w:adjustRightInd w:val="0"/>
              <w:spacing w:line="360" w:lineRule="auto"/>
              <w:ind w:right="84" w:rightChars="40"/>
              <w:jc w:val="center"/>
              <w:rPr>
                <w:rFonts w:ascii="宋体" w:hAnsi="宋体" w:cs="Arial"/>
                <w:sz w:val="24"/>
                <w:szCs w:val="24"/>
              </w:rPr>
            </w:pPr>
            <w:r>
              <w:rPr>
                <w:rFonts w:hint="eastAsia" w:ascii="宋体" w:hAnsi="宋体" w:cs="Arial"/>
                <w:sz w:val="24"/>
                <w:szCs w:val="24"/>
              </w:rPr>
              <w:t>采购需求</w:t>
            </w:r>
          </w:p>
        </w:tc>
        <w:tc>
          <w:tcPr>
            <w:tcW w:w="4515" w:type="dxa"/>
            <w:gridSpan w:val="2"/>
            <w:tcBorders>
              <w:top w:val="single" w:color="auto" w:sz="4" w:space="0"/>
              <w:left w:val="single" w:color="auto" w:sz="6" w:space="0"/>
              <w:right w:val="single" w:color="auto" w:sz="4" w:space="0"/>
            </w:tcBorders>
            <w:vAlign w:val="center"/>
          </w:tcPr>
          <w:p w14:paraId="41A3DB46">
            <w:pPr>
              <w:pStyle w:val="41"/>
              <w:autoSpaceDE w:val="0"/>
              <w:autoSpaceDN w:val="0"/>
              <w:adjustRightInd w:val="0"/>
              <w:spacing w:line="360" w:lineRule="auto"/>
              <w:ind w:right="84" w:rightChars="40"/>
              <w:jc w:val="center"/>
              <w:rPr>
                <w:rFonts w:ascii="宋体" w:hAnsi="宋体" w:cs="Arial"/>
                <w:sz w:val="24"/>
                <w:szCs w:val="24"/>
              </w:rPr>
            </w:pPr>
            <w:r>
              <w:rPr>
                <w:rFonts w:hint="eastAsia" w:ascii="宋体" w:hAnsi="宋体" w:cs="Arial"/>
                <w:sz w:val="24"/>
                <w:szCs w:val="24"/>
              </w:rPr>
              <w:t>供应商响应</w:t>
            </w:r>
          </w:p>
        </w:tc>
      </w:tr>
      <w:tr w14:paraId="2E09C6FB">
        <w:tblPrEx>
          <w:tblCellMar>
            <w:top w:w="0" w:type="dxa"/>
            <w:left w:w="30" w:type="dxa"/>
            <w:bottom w:w="0" w:type="dxa"/>
            <w:right w:w="30" w:type="dxa"/>
          </w:tblCellMar>
        </w:tblPrEx>
        <w:trPr>
          <w:trHeight w:val="454" w:hRule="exact"/>
        </w:trPr>
        <w:tc>
          <w:tcPr>
            <w:tcW w:w="750" w:type="dxa"/>
            <w:tcBorders>
              <w:top w:val="single" w:color="auto" w:sz="4" w:space="0"/>
              <w:left w:val="single" w:color="auto" w:sz="4" w:space="0"/>
              <w:bottom w:val="single" w:color="auto" w:sz="4" w:space="0"/>
              <w:right w:val="single" w:color="auto" w:sz="6" w:space="0"/>
            </w:tcBorders>
            <w:vAlign w:val="center"/>
          </w:tcPr>
          <w:p w14:paraId="7205BA94">
            <w:pPr>
              <w:pStyle w:val="41"/>
              <w:autoSpaceDE w:val="0"/>
              <w:autoSpaceDN w:val="0"/>
              <w:adjustRightInd w:val="0"/>
              <w:spacing w:line="360" w:lineRule="auto"/>
              <w:ind w:right="84" w:rightChars="40"/>
              <w:jc w:val="center"/>
              <w:rPr>
                <w:rFonts w:ascii="宋体" w:hAnsi="宋体" w:cs="Arial"/>
                <w:sz w:val="24"/>
                <w:szCs w:val="24"/>
              </w:rPr>
            </w:pPr>
            <w:r>
              <w:rPr>
                <w:rFonts w:hint="eastAsia" w:ascii="宋体" w:hAnsi="宋体" w:cs="Arial"/>
                <w:sz w:val="24"/>
                <w:szCs w:val="24"/>
              </w:rPr>
              <w:t>序号</w:t>
            </w:r>
          </w:p>
        </w:tc>
        <w:tc>
          <w:tcPr>
            <w:tcW w:w="4125" w:type="dxa"/>
            <w:tcBorders>
              <w:top w:val="single" w:color="auto" w:sz="4" w:space="0"/>
              <w:left w:val="single" w:color="auto" w:sz="6" w:space="0"/>
              <w:bottom w:val="single" w:color="auto" w:sz="4" w:space="0"/>
              <w:right w:val="single" w:color="auto" w:sz="6" w:space="0"/>
            </w:tcBorders>
            <w:vAlign w:val="center"/>
          </w:tcPr>
          <w:p w14:paraId="366A34DD">
            <w:pPr>
              <w:pStyle w:val="41"/>
              <w:autoSpaceDE w:val="0"/>
              <w:autoSpaceDN w:val="0"/>
              <w:adjustRightInd w:val="0"/>
              <w:spacing w:line="360" w:lineRule="auto"/>
              <w:ind w:right="84" w:rightChars="40"/>
              <w:jc w:val="center"/>
              <w:rPr>
                <w:rFonts w:ascii="宋体" w:hAnsi="宋体" w:cs="Arial"/>
                <w:sz w:val="24"/>
                <w:szCs w:val="24"/>
              </w:rPr>
            </w:pPr>
            <w:r>
              <w:rPr>
                <w:rFonts w:hint="eastAsia" w:ascii="宋体" w:hAnsi="宋体" w:cs="Arial"/>
                <w:sz w:val="24"/>
                <w:szCs w:val="24"/>
              </w:rPr>
              <w:t>项目内容</w:t>
            </w:r>
          </w:p>
        </w:tc>
        <w:tc>
          <w:tcPr>
            <w:tcW w:w="1995" w:type="dxa"/>
            <w:tcBorders>
              <w:top w:val="single" w:color="auto" w:sz="4" w:space="0"/>
              <w:left w:val="single" w:color="auto" w:sz="6" w:space="0"/>
              <w:bottom w:val="single" w:color="auto" w:sz="4" w:space="0"/>
              <w:right w:val="single" w:color="auto" w:sz="6" w:space="0"/>
            </w:tcBorders>
            <w:vAlign w:val="center"/>
          </w:tcPr>
          <w:p w14:paraId="38B2D153">
            <w:pPr>
              <w:pStyle w:val="41"/>
              <w:autoSpaceDE w:val="0"/>
              <w:autoSpaceDN w:val="0"/>
              <w:adjustRightInd w:val="0"/>
              <w:spacing w:line="360" w:lineRule="auto"/>
              <w:ind w:right="84" w:rightChars="40"/>
              <w:jc w:val="center"/>
              <w:rPr>
                <w:rFonts w:ascii="宋体" w:hAnsi="宋体" w:cs="Arial"/>
                <w:sz w:val="24"/>
                <w:szCs w:val="24"/>
              </w:rPr>
            </w:pPr>
            <w:r>
              <w:rPr>
                <w:rFonts w:hint="eastAsia" w:ascii="宋体" w:hAnsi="宋体" w:cs="Arial"/>
                <w:sz w:val="24"/>
                <w:szCs w:val="24"/>
              </w:rPr>
              <w:t>承诺</w:t>
            </w:r>
          </w:p>
        </w:tc>
        <w:tc>
          <w:tcPr>
            <w:tcW w:w="2520" w:type="dxa"/>
            <w:tcBorders>
              <w:top w:val="single" w:color="auto" w:sz="4" w:space="0"/>
              <w:left w:val="single" w:color="auto" w:sz="6" w:space="0"/>
              <w:bottom w:val="single" w:color="auto" w:sz="4" w:space="0"/>
              <w:right w:val="single" w:color="auto" w:sz="4" w:space="0"/>
            </w:tcBorders>
            <w:vAlign w:val="center"/>
          </w:tcPr>
          <w:p w14:paraId="432AAA6C">
            <w:pPr>
              <w:pStyle w:val="41"/>
              <w:autoSpaceDE w:val="0"/>
              <w:autoSpaceDN w:val="0"/>
              <w:adjustRightInd w:val="0"/>
              <w:spacing w:line="360" w:lineRule="auto"/>
              <w:ind w:right="84" w:rightChars="40"/>
              <w:jc w:val="center"/>
              <w:rPr>
                <w:rFonts w:ascii="宋体" w:hAnsi="宋体" w:cs="Arial"/>
                <w:sz w:val="24"/>
                <w:szCs w:val="24"/>
              </w:rPr>
            </w:pPr>
            <w:r>
              <w:rPr>
                <w:rFonts w:hint="eastAsia" w:ascii="宋体" w:hAnsi="宋体" w:cs="Arial"/>
                <w:sz w:val="24"/>
                <w:szCs w:val="24"/>
              </w:rPr>
              <w:t>差异</w:t>
            </w:r>
          </w:p>
        </w:tc>
      </w:tr>
      <w:tr w14:paraId="1BB781BC">
        <w:tblPrEx>
          <w:tblCellMar>
            <w:top w:w="0" w:type="dxa"/>
            <w:left w:w="30" w:type="dxa"/>
            <w:bottom w:w="0" w:type="dxa"/>
            <w:right w:w="30" w:type="dxa"/>
          </w:tblCellMar>
        </w:tblPrEx>
        <w:trPr>
          <w:trHeight w:val="454" w:hRule="exact"/>
        </w:trPr>
        <w:tc>
          <w:tcPr>
            <w:tcW w:w="750" w:type="dxa"/>
            <w:tcBorders>
              <w:top w:val="single" w:color="auto" w:sz="4" w:space="0"/>
              <w:left w:val="single" w:color="auto" w:sz="4" w:space="0"/>
              <w:bottom w:val="single" w:color="auto" w:sz="4" w:space="0"/>
              <w:right w:val="single" w:color="auto" w:sz="6" w:space="0"/>
            </w:tcBorders>
            <w:vAlign w:val="center"/>
          </w:tcPr>
          <w:p w14:paraId="5CA0A156">
            <w:pPr>
              <w:pStyle w:val="41"/>
              <w:autoSpaceDE w:val="0"/>
              <w:autoSpaceDN w:val="0"/>
              <w:adjustRightInd w:val="0"/>
              <w:spacing w:line="360" w:lineRule="auto"/>
              <w:ind w:right="84" w:rightChars="40"/>
              <w:jc w:val="center"/>
              <w:rPr>
                <w:rFonts w:ascii="宋体" w:hAnsi="宋体" w:cs="Arial"/>
                <w:sz w:val="24"/>
                <w:szCs w:val="24"/>
              </w:rPr>
            </w:pPr>
            <w:r>
              <w:rPr>
                <w:rFonts w:hint="eastAsia" w:ascii="宋体" w:hAnsi="宋体" w:cs="Arial"/>
                <w:sz w:val="24"/>
                <w:szCs w:val="24"/>
              </w:rPr>
              <w:t>1</w:t>
            </w:r>
          </w:p>
        </w:tc>
        <w:tc>
          <w:tcPr>
            <w:tcW w:w="4125" w:type="dxa"/>
            <w:tcBorders>
              <w:top w:val="single" w:color="auto" w:sz="4" w:space="0"/>
              <w:left w:val="single" w:color="auto" w:sz="6" w:space="0"/>
              <w:bottom w:val="single" w:color="auto" w:sz="4" w:space="0"/>
              <w:right w:val="single" w:color="auto" w:sz="6" w:space="0"/>
            </w:tcBorders>
            <w:vAlign w:val="center"/>
          </w:tcPr>
          <w:p w14:paraId="6FB4209D">
            <w:pPr>
              <w:pStyle w:val="41"/>
              <w:autoSpaceDE w:val="0"/>
              <w:autoSpaceDN w:val="0"/>
              <w:adjustRightInd w:val="0"/>
              <w:spacing w:line="360" w:lineRule="auto"/>
              <w:ind w:right="84" w:rightChars="40"/>
              <w:rPr>
                <w:rFonts w:ascii="宋体" w:hAnsi="宋体" w:cs="Arial"/>
                <w:sz w:val="24"/>
                <w:szCs w:val="24"/>
              </w:rPr>
            </w:pPr>
          </w:p>
        </w:tc>
        <w:tc>
          <w:tcPr>
            <w:tcW w:w="1995" w:type="dxa"/>
            <w:tcBorders>
              <w:top w:val="single" w:color="auto" w:sz="4" w:space="0"/>
              <w:left w:val="single" w:color="auto" w:sz="6" w:space="0"/>
              <w:bottom w:val="single" w:color="auto" w:sz="4" w:space="0"/>
              <w:right w:val="single" w:color="auto" w:sz="6" w:space="0"/>
            </w:tcBorders>
            <w:vAlign w:val="center"/>
          </w:tcPr>
          <w:p w14:paraId="431BC45A">
            <w:pPr>
              <w:pStyle w:val="41"/>
              <w:autoSpaceDE w:val="0"/>
              <w:autoSpaceDN w:val="0"/>
              <w:adjustRightInd w:val="0"/>
              <w:spacing w:line="360" w:lineRule="auto"/>
              <w:ind w:right="84" w:rightChars="40"/>
              <w:jc w:val="center"/>
              <w:rPr>
                <w:rFonts w:ascii="宋体" w:hAnsi="宋体" w:cs="Arial"/>
                <w:sz w:val="24"/>
                <w:szCs w:val="24"/>
              </w:rPr>
            </w:pPr>
          </w:p>
        </w:tc>
        <w:tc>
          <w:tcPr>
            <w:tcW w:w="2520" w:type="dxa"/>
            <w:tcBorders>
              <w:top w:val="single" w:color="auto" w:sz="4" w:space="0"/>
              <w:left w:val="single" w:color="auto" w:sz="6" w:space="0"/>
              <w:bottom w:val="single" w:color="auto" w:sz="4" w:space="0"/>
              <w:right w:val="single" w:color="auto" w:sz="4" w:space="0"/>
            </w:tcBorders>
            <w:vAlign w:val="center"/>
          </w:tcPr>
          <w:p w14:paraId="2918E414">
            <w:pPr>
              <w:pStyle w:val="41"/>
              <w:autoSpaceDE w:val="0"/>
              <w:autoSpaceDN w:val="0"/>
              <w:adjustRightInd w:val="0"/>
              <w:spacing w:line="360" w:lineRule="auto"/>
              <w:ind w:right="84" w:rightChars="40"/>
              <w:jc w:val="center"/>
              <w:rPr>
                <w:rFonts w:ascii="宋体" w:hAnsi="宋体" w:cs="Arial"/>
                <w:sz w:val="24"/>
                <w:szCs w:val="24"/>
              </w:rPr>
            </w:pPr>
          </w:p>
        </w:tc>
      </w:tr>
      <w:tr w14:paraId="0BB7DCF2">
        <w:tblPrEx>
          <w:tblCellMar>
            <w:top w:w="0" w:type="dxa"/>
            <w:left w:w="30" w:type="dxa"/>
            <w:bottom w:w="0" w:type="dxa"/>
            <w:right w:w="30" w:type="dxa"/>
          </w:tblCellMar>
        </w:tblPrEx>
        <w:trPr>
          <w:trHeight w:val="454" w:hRule="exact"/>
        </w:trPr>
        <w:tc>
          <w:tcPr>
            <w:tcW w:w="750" w:type="dxa"/>
            <w:tcBorders>
              <w:top w:val="single" w:color="auto" w:sz="4" w:space="0"/>
              <w:left w:val="single" w:color="auto" w:sz="4" w:space="0"/>
              <w:bottom w:val="single" w:color="auto" w:sz="4" w:space="0"/>
              <w:right w:val="single" w:color="auto" w:sz="6" w:space="0"/>
            </w:tcBorders>
            <w:vAlign w:val="center"/>
          </w:tcPr>
          <w:p w14:paraId="2EBCF25F">
            <w:pPr>
              <w:pStyle w:val="41"/>
              <w:autoSpaceDE w:val="0"/>
              <w:autoSpaceDN w:val="0"/>
              <w:adjustRightInd w:val="0"/>
              <w:spacing w:line="360" w:lineRule="auto"/>
              <w:ind w:right="84" w:rightChars="40"/>
              <w:jc w:val="center"/>
              <w:rPr>
                <w:rFonts w:ascii="宋体" w:hAnsi="宋体" w:cs="Arial"/>
                <w:sz w:val="24"/>
                <w:szCs w:val="24"/>
              </w:rPr>
            </w:pPr>
            <w:r>
              <w:rPr>
                <w:rFonts w:hint="eastAsia" w:ascii="宋体" w:hAnsi="宋体" w:cs="Arial"/>
                <w:sz w:val="24"/>
                <w:szCs w:val="24"/>
              </w:rPr>
              <w:t>2</w:t>
            </w:r>
          </w:p>
        </w:tc>
        <w:tc>
          <w:tcPr>
            <w:tcW w:w="4125" w:type="dxa"/>
            <w:tcBorders>
              <w:top w:val="single" w:color="auto" w:sz="4" w:space="0"/>
              <w:left w:val="single" w:color="auto" w:sz="6" w:space="0"/>
              <w:bottom w:val="single" w:color="auto" w:sz="4" w:space="0"/>
              <w:right w:val="single" w:color="auto" w:sz="6" w:space="0"/>
            </w:tcBorders>
            <w:vAlign w:val="center"/>
          </w:tcPr>
          <w:p w14:paraId="6EF27937">
            <w:pPr>
              <w:pStyle w:val="41"/>
              <w:autoSpaceDE w:val="0"/>
              <w:autoSpaceDN w:val="0"/>
              <w:adjustRightInd w:val="0"/>
              <w:spacing w:line="360" w:lineRule="auto"/>
              <w:ind w:right="84" w:rightChars="40"/>
              <w:rPr>
                <w:rFonts w:ascii="宋体" w:hAnsi="宋体" w:cs="Arial"/>
                <w:sz w:val="24"/>
                <w:szCs w:val="24"/>
              </w:rPr>
            </w:pPr>
          </w:p>
        </w:tc>
        <w:tc>
          <w:tcPr>
            <w:tcW w:w="1995" w:type="dxa"/>
            <w:tcBorders>
              <w:top w:val="single" w:color="auto" w:sz="4" w:space="0"/>
              <w:left w:val="single" w:color="auto" w:sz="6" w:space="0"/>
              <w:bottom w:val="single" w:color="auto" w:sz="4" w:space="0"/>
              <w:right w:val="single" w:color="auto" w:sz="6" w:space="0"/>
            </w:tcBorders>
            <w:vAlign w:val="center"/>
          </w:tcPr>
          <w:p w14:paraId="07B1D195">
            <w:pPr>
              <w:pStyle w:val="41"/>
              <w:autoSpaceDE w:val="0"/>
              <w:autoSpaceDN w:val="0"/>
              <w:adjustRightInd w:val="0"/>
              <w:spacing w:line="360" w:lineRule="auto"/>
              <w:ind w:right="84" w:rightChars="40"/>
              <w:jc w:val="center"/>
              <w:rPr>
                <w:rFonts w:ascii="宋体" w:hAnsi="宋体" w:cs="Arial"/>
                <w:sz w:val="24"/>
                <w:szCs w:val="24"/>
              </w:rPr>
            </w:pPr>
          </w:p>
        </w:tc>
        <w:tc>
          <w:tcPr>
            <w:tcW w:w="2520" w:type="dxa"/>
            <w:tcBorders>
              <w:top w:val="single" w:color="auto" w:sz="4" w:space="0"/>
              <w:left w:val="single" w:color="auto" w:sz="6" w:space="0"/>
              <w:bottom w:val="single" w:color="auto" w:sz="4" w:space="0"/>
              <w:right w:val="single" w:color="auto" w:sz="4" w:space="0"/>
            </w:tcBorders>
            <w:vAlign w:val="center"/>
          </w:tcPr>
          <w:p w14:paraId="5A2A57C3">
            <w:pPr>
              <w:pStyle w:val="41"/>
              <w:autoSpaceDE w:val="0"/>
              <w:autoSpaceDN w:val="0"/>
              <w:adjustRightInd w:val="0"/>
              <w:spacing w:line="360" w:lineRule="auto"/>
              <w:ind w:right="84" w:rightChars="40"/>
              <w:jc w:val="center"/>
              <w:rPr>
                <w:rFonts w:ascii="宋体" w:hAnsi="宋体" w:cs="Arial"/>
                <w:sz w:val="24"/>
                <w:szCs w:val="24"/>
              </w:rPr>
            </w:pPr>
          </w:p>
        </w:tc>
      </w:tr>
      <w:tr w14:paraId="0186CA37">
        <w:tblPrEx>
          <w:tblCellMar>
            <w:top w:w="0" w:type="dxa"/>
            <w:left w:w="30" w:type="dxa"/>
            <w:bottom w:w="0" w:type="dxa"/>
            <w:right w:w="30" w:type="dxa"/>
          </w:tblCellMar>
        </w:tblPrEx>
        <w:trPr>
          <w:trHeight w:val="454" w:hRule="exact"/>
        </w:trPr>
        <w:tc>
          <w:tcPr>
            <w:tcW w:w="750" w:type="dxa"/>
            <w:tcBorders>
              <w:top w:val="single" w:color="auto" w:sz="4" w:space="0"/>
              <w:left w:val="single" w:color="auto" w:sz="4" w:space="0"/>
              <w:bottom w:val="single" w:color="auto" w:sz="4" w:space="0"/>
              <w:right w:val="single" w:color="auto" w:sz="6" w:space="0"/>
            </w:tcBorders>
            <w:vAlign w:val="center"/>
          </w:tcPr>
          <w:p w14:paraId="710CB22E">
            <w:pPr>
              <w:pStyle w:val="41"/>
              <w:autoSpaceDE w:val="0"/>
              <w:autoSpaceDN w:val="0"/>
              <w:adjustRightInd w:val="0"/>
              <w:spacing w:line="360" w:lineRule="auto"/>
              <w:ind w:right="84" w:rightChars="40"/>
              <w:jc w:val="center"/>
              <w:rPr>
                <w:rFonts w:ascii="宋体" w:hAnsi="宋体" w:cs="Arial"/>
                <w:sz w:val="24"/>
                <w:szCs w:val="24"/>
              </w:rPr>
            </w:pPr>
            <w:r>
              <w:rPr>
                <w:rFonts w:hint="eastAsia" w:ascii="宋体" w:hAnsi="宋体" w:cs="Arial"/>
                <w:sz w:val="24"/>
                <w:szCs w:val="24"/>
              </w:rPr>
              <w:t>3</w:t>
            </w:r>
          </w:p>
        </w:tc>
        <w:tc>
          <w:tcPr>
            <w:tcW w:w="4125" w:type="dxa"/>
            <w:tcBorders>
              <w:top w:val="single" w:color="auto" w:sz="4" w:space="0"/>
              <w:left w:val="single" w:color="auto" w:sz="6" w:space="0"/>
              <w:bottom w:val="single" w:color="auto" w:sz="4" w:space="0"/>
              <w:right w:val="single" w:color="auto" w:sz="6" w:space="0"/>
            </w:tcBorders>
            <w:vAlign w:val="center"/>
          </w:tcPr>
          <w:p w14:paraId="6630A0A2">
            <w:pPr>
              <w:pStyle w:val="41"/>
              <w:autoSpaceDE w:val="0"/>
              <w:autoSpaceDN w:val="0"/>
              <w:adjustRightInd w:val="0"/>
              <w:spacing w:line="360" w:lineRule="auto"/>
              <w:ind w:right="84" w:rightChars="40"/>
              <w:rPr>
                <w:rFonts w:ascii="宋体" w:hAnsi="宋体" w:cs="Arial"/>
                <w:sz w:val="24"/>
                <w:szCs w:val="24"/>
              </w:rPr>
            </w:pPr>
          </w:p>
        </w:tc>
        <w:tc>
          <w:tcPr>
            <w:tcW w:w="1995" w:type="dxa"/>
            <w:tcBorders>
              <w:top w:val="single" w:color="auto" w:sz="4" w:space="0"/>
              <w:left w:val="single" w:color="auto" w:sz="6" w:space="0"/>
              <w:bottom w:val="single" w:color="auto" w:sz="4" w:space="0"/>
              <w:right w:val="single" w:color="auto" w:sz="6" w:space="0"/>
            </w:tcBorders>
            <w:vAlign w:val="center"/>
          </w:tcPr>
          <w:p w14:paraId="3DB38152">
            <w:pPr>
              <w:pStyle w:val="41"/>
              <w:autoSpaceDE w:val="0"/>
              <w:autoSpaceDN w:val="0"/>
              <w:adjustRightInd w:val="0"/>
              <w:spacing w:line="360" w:lineRule="auto"/>
              <w:ind w:right="84" w:rightChars="40"/>
              <w:jc w:val="center"/>
              <w:rPr>
                <w:rFonts w:ascii="宋体" w:hAnsi="宋体" w:cs="Arial"/>
                <w:sz w:val="24"/>
                <w:szCs w:val="24"/>
              </w:rPr>
            </w:pPr>
          </w:p>
        </w:tc>
        <w:tc>
          <w:tcPr>
            <w:tcW w:w="2520" w:type="dxa"/>
            <w:tcBorders>
              <w:top w:val="single" w:color="auto" w:sz="4" w:space="0"/>
              <w:left w:val="single" w:color="auto" w:sz="6" w:space="0"/>
              <w:bottom w:val="single" w:color="auto" w:sz="4" w:space="0"/>
              <w:right w:val="single" w:color="auto" w:sz="4" w:space="0"/>
            </w:tcBorders>
            <w:vAlign w:val="center"/>
          </w:tcPr>
          <w:p w14:paraId="54C2CBFE">
            <w:pPr>
              <w:pStyle w:val="41"/>
              <w:autoSpaceDE w:val="0"/>
              <w:autoSpaceDN w:val="0"/>
              <w:adjustRightInd w:val="0"/>
              <w:spacing w:line="360" w:lineRule="auto"/>
              <w:ind w:right="84" w:rightChars="40"/>
              <w:jc w:val="center"/>
              <w:rPr>
                <w:rFonts w:ascii="宋体" w:hAnsi="宋体" w:cs="Arial"/>
                <w:sz w:val="24"/>
                <w:szCs w:val="24"/>
              </w:rPr>
            </w:pPr>
          </w:p>
        </w:tc>
      </w:tr>
      <w:tr w14:paraId="1C0D8FFD">
        <w:tblPrEx>
          <w:tblCellMar>
            <w:top w:w="0" w:type="dxa"/>
            <w:left w:w="30" w:type="dxa"/>
            <w:bottom w:w="0" w:type="dxa"/>
            <w:right w:w="30" w:type="dxa"/>
          </w:tblCellMar>
        </w:tblPrEx>
        <w:trPr>
          <w:trHeight w:val="454" w:hRule="exact"/>
        </w:trPr>
        <w:tc>
          <w:tcPr>
            <w:tcW w:w="750" w:type="dxa"/>
            <w:tcBorders>
              <w:top w:val="single" w:color="auto" w:sz="4" w:space="0"/>
              <w:left w:val="single" w:color="auto" w:sz="4" w:space="0"/>
              <w:bottom w:val="single" w:color="auto" w:sz="4" w:space="0"/>
              <w:right w:val="single" w:color="auto" w:sz="6" w:space="0"/>
            </w:tcBorders>
            <w:vAlign w:val="center"/>
          </w:tcPr>
          <w:p w14:paraId="01D266C3">
            <w:pPr>
              <w:pStyle w:val="41"/>
              <w:autoSpaceDE w:val="0"/>
              <w:autoSpaceDN w:val="0"/>
              <w:adjustRightInd w:val="0"/>
              <w:spacing w:line="360" w:lineRule="auto"/>
              <w:ind w:right="84" w:rightChars="40"/>
              <w:jc w:val="center"/>
              <w:rPr>
                <w:rFonts w:ascii="宋体" w:hAnsi="宋体" w:cs="Arial"/>
                <w:sz w:val="24"/>
                <w:szCs w:val="24"/>
              </w:rPr>
            </w:pPr>
            <w:r>
              <w:rPr>
                <w:rFonts w:hint="eastAsia" w:ascii="宋体" w:hAnsi="宋体" w:cs="Arial"/>
                <w:sz w:val="24"/>
                <w:szCs w:val="24"/>
              </w:rPr>
              <w:t>4</w:t>
            </w:r>
          </w:p>
        </w:tc>
        <w:tc>
          <w:tcPr>
            <w:tcW w:w="4125" w:type="dxa"/>
            <w:tcBorders>
              <w:top w:val="single" w:color="auto" w:sz="4" w:space="0"/>
              <w:left w:val="single" w:color="auto" w:sz="6" w:space="0"/>
              <w:bottom w:val="single" w:color="auto" w:sz="4" w:space="0"/>
              <w:right w:val="single" w:color="auto" w:sz="6" w:space="0"/>
            </w:tcBorders>
            <w:vAlign w:val="center"/>
          </w:tcPr>
          <w:p w14:paraId="27AA8862">
            <w:pPr>
              <w:pStyle w:val="41"/>
              <w:autoSpaceDE w:val="0"/>
              <w:autoSpaceDN w:val="0"/>
              <w:adjustRightInd w:val="0"/>
              <w:spacing w:line="360" w:lineRule="auto"/>
              <w:ind w:right="84" w:rightChars="40"/>
              <w:rPr>
                <w:rFonts w:ascii="宋体" w:hAnsi="宋体" w:cs="Arial"/>
                <w:sz w:val="24"/>
                <w:szCs w:val="24"/>
              </w:rPr>
            </w:pPr>
          </w:p>
        </w:tc>
        <w:tc>
          <w:tcPr>
            <w:tcW w:w="1995" w:type="dxa"/>
            <w:tcBorders>
              <w:top w:val="single" w:color="auto" w:sz="4" w:space="0"/>
              <w:left w:val="single" w:color="auto" w:sz="6" w:space="0"/>
              <w:bottom w:val="single" w:color="auto" w:sz="4" w:space="0"/>
              <w:right w:val="single" w:color="auto" w:sz="6" w:space="0"/>
            </w:tcBorders>
            <w:vAlign w:val="center"/>
          </w:tcPr>
          <w:p w14:paraId="540DB1C2">
            <w:pPr>
              <w:pStyle w:val="41"/>
              <w:autoSpaceDE w:val="0"/>
              <w:autoSpaceDN w:val="0"/>
              <w:adjustRightInd w:val="0"/>
              <w:spacing w:line="360" w:lineRule="auto"/>
              <w:ind w:right="84" w:rightChars="40"/>
              <w:jc w:val="center"/>
              <w:rPr>
                <w:rFonts w:ascii="宋体" w:hAnsi="宋体" w:cs="Arial"/>
                <w:sz w:val="24"/>
                <w:szCs w:val="24"/>
              </w:rPr>
            </w:pPr>
          </w:p>
        </w:tc>
        <w:tc>
          <w:tcPr>
            <w:tcW w:w="2520" w:type="dxa"/>
            <w:tcBorders>
              <w:top w:val="single" w:color="auto" w:sz="4" w:space="0"/>
              <w:left w:val="single" w:color="auto" w:sz="6" w:space="0"/>
              <w:bottom w:val="single" w:color="auto" w:sz="4" w:space="0"/>
              <w:right w:val="single" w:color="auto" w:sz="4" w:space="0"/>
            </w:tcBorders>
            <w:vAlign w:val="center"/>
          </w:tcPr>
          <w:p w14:paraId="5305ED53">
            <w:pPr>
              <w:pStyle w:val="41"/>
              <w:autoSpaceDE w:val="0"/>
              <w:autoSpaceDN w:val="0"/>
              <w:adjustRightInd w:val="0"/>
              <w:spacing w:line="360" w:lineRule="auto"/>
              <w:ind w:right="84" w:rightChars="40"/>
              <w:jc w:val="center"/>
              <w:rPr>
                <w:rFonts w:ascii="宋体" w:hAnsi="宋体" w:cs="Arial"/>
                <w:sz w:val="24"/>
                <w:szCs w:val="24"/>
              </w:rPr>
            </w:pPr>
          </w:p>
        </w:tc>
      </w:tr>
      <w:tr w14:paraId="237AA6A6">
        <w:tblPrEx>
          <w:tblCellMar>
            <w:top w:w="0" w:type="dxa"/>
            <w:left w:w="30" w:type="dxa"/>
            <w:bottom w:w="0" w:type="dxa"/>
            <w:right w:w="30" w:type="dxa"/>
          </w:tblCellMar>
        </w:tblPrEx>
        <w:trPr>
          <w:trHeight w:val="454" w:hRule="exact"/>
        </w:trPr>
        <w:tc>
          <w:tcPr>
            <w:tcW w:w="750" w:type="dxa"/>
            <w:tcBorders>
              <w:top w:val="single" w:color="auto" w:sz="4" w:space="0"/>
              <w:left w:val="single" w:color="auto" w:sz="4" w:space="0"/>
              <w:bottom w:val="single" w:color="auto" w:sz="4" w:space="0"/>
              <w:right w:val="single" w:color="auto" w:sz="6" w:space="0"/>
            </w:tcBorders>
            <w:vAlign w:val="center"/>
          </w:tcPr>
          <w:p w14:paraId="239DF04E">
            <w:pPr>
              <w:pStyle w:val="41"/>
              <w:autoSpaceDE w:val="0"/>
              <w:autoSpaceDN w:val="0"/>
              <w:adjustRightInd w:val="0"/>
              <w:spacing w:line="360" w:lineRule="auto"/>
              <w:ind w:right="84" w:rightChars="40"/>
              <w:jc w:val="center"/>
              <w:rPr>
                <w:rFonts w:ascii="宋体" w:hAnsi="宋体" w:cs="Arial"/>
                <w:sz w:val="24"/>
                <w:szCs w:val="24"/>
              </w:rPr>
            </w:pPr>
            <w:r>
              <w:rPr>
                <w:rFonts w:hint="eastAsia" w:ascii="宋体" w:hAnsi="宋体" w:cs="Arial"/>
                <w:sz w:val="24"/>
                <w:szCs w:val="24"/>
              </w:rPr>
              <w:t>5</w:t>
            </w:r>
          </w:p>
        </w:tc>
        <w:tc>
          <w:tcPr>
            <w:tcW w:w="4125" w:type="dxa"/>
            <w:tcBorders>
              <w:top w:val="single" w:color="auto" w:sz="4" w:space="0"/>
              <w:left w:val="single" w:color="auto" w:sz="6" w:space="0"/>
              <w:bottom w:val="single" w:color="auto" w:sz="4" w:space="0"/>
              <w:right w:val="single" w:color="auto" w:sz="6" w:space="0"/>
            </w:tcBorders>
            <w:vAlign w:val="center"/>
          </w:tcPr>
          <w:p w14:paraId="1B44653E">
            <w:pPr>
              <w:pStyle w:val="41"/>
              <w:autoSpaceDE w:val="0"/>
              <w:autoSpaceDN w:val="0"/>
              <w:adjustRightInd w:val="0"/>
              <w:spacing w:line="360" w:lineRule="auto"/>
              <w:ind w:right="84" w:rightChars="40"/>
              <w:rPr>
                <w:rFonts w:ascii="宋体" w:hAnsi="宋体" w:cs="Arial"/>
                <w:sz w:val="24"/>
                <w:szCs w:val="24"/>
              </w:rPr>
            </w:pPr>
          </w:p>
        </w:tc>
        <w:tc>
          <w:tcPr>
            <w:tcW w:w="1995" w:type="dxa"/>
            <w:tcBorders>
              <w:top w:val="single" w:color="auto" w:sz="4" w:space="0"/>
              <w:left w:val="single" w:color="auto" w:sz="6" w:space="0"/>
              <w:bottom w:val="single" w:color="auto" w:sz="4" w:space="0"/>
              <w:right w:val="single" w:color="auto" w:sz="6" w:space="0"/>
            </w:tcBorders>
            <w:vAlign w:val="center"/>
          </w:tcPr>
          <w:p w14:paraId="585C4487">
            <w:pPr>
              <w:pStyle w:val="41"/>
              <w:autoSpaceDE w:val="0"/>
              <w:autoSpaceDN w:val="0"/>
              <w:adjustRightInd w:val="0"/>
              <w:spacing w:line="360" w:lineRule="auto"/>
              <w:ind w:right="84" w:rightChars="40"/>
              <w:jc w:val="center"/>
              <w:rPr>
                <w:rFonts w:ascii="宋体" w:hAnsi="宋体" w:cs="Arial"/>
                <w:sz w:val="24"/>
                <w:szCs w:val="24"/>
              </w:rPr>
            </w:pPr>
          </w:p>
        </w:tc>
        <w:tc>
          <w:tcPr>
            <w:tcW w:w="2520" w:type="dxa"/>
            <w:tcBorders>
              <w:top w:val="single" w:color="auto" w:sz="4" w:space="0"/>
              <w:left w:val="single" w:color="auto" w:sz="6" w:space="0"/>
              <w:bottom w:val="single" w:color="auto" w:sz="4" w:space="0"/>
              <w:right w:val="single" w:color="auto" w:sz="4" w:space="0"/>
            </w:tcBorders>
            <w:vAlign w:val="center"/>
          </w:tcPr>
          <w:p w14:paraId="18C43899">
            <w:pPr>
              <w:pStyle w:val="41"/>
              <w:autoSpaceDE w:val="0"/>
              <w:autoSpaceDN w:val="0"/>
              <w:adjustRightInd w:val="0"/>
              <w:spacing w:line="360" w:lineRule="auto"/>
              <w:ind w:right="84" w:rightChars="40"/>
              <w:jc w:val="center"/>
              <w:rPr>
                <w:rFonts w:ascii="宋体" w:hAnsi="宋体" w:cs="Arial"/>
                <w:sz w:val="24"/>
                <w:szCs w:val="24"/>
              </w:rPr>
            </w:pPr>
          </w:p>
        </w:tc>
      </w:tr>
      <w:tr w14:paraId="0FEA853A">
        <w:tblPrEx>
          <w:tblCellMar>
            <w:top w:w="0" w:type="dxa"/>
            <w:left w:w="30" w:type="dxa"/>
            <w:bottom w:w="0" w:type="dxa"/>
            <w:right w:w="30" w:type="dxa"/>
          </w:tblCellMar>
        </w:tblPrEx>
        <w:trPr>
          <w:trHeight w:val="454" w:hRule="exact"/>
        </w:trPr>
        <w:tc>
          <w:tcPr>
            <w:tcW w:w="750" w:type="dxa"/>
            <w:tcBorders>
              <w:top w:val="single" w:color="auto" w:sz="4" w:space="0"/>
              <w:left w:val="single" w:color="auto" w:sz="4" w:space="0"/>
              <w:bottom w:val="single" w:color="auto" w:sz="4" w:space="0"/>
              <w:right w:val="single" w:color="auto" w:sz="6" w:space="0"/>
            </w:tcBorders>
            <w:vAlign w:val="center"/>
          </w:tcPr>
          <w:p w14:paraId="72D753E7">
            <w:pPr>
              <w:pStyle w:val="41"/>
              <w:autoSpaceDE w:val="0"/>
              <w:autoSpaceDN w:val="0"/>
              <w:adjustRightInd w:val="0"/>
              <w:spacing w:line="360" w:lineRule="auto"/>
              <w:ind w:right="84" w:rightChars="40"/>
              <w:jc w:val="center"/>
              <w:rPr>
                <w:rFonts w:ascii="宋体" w:hAnsi="宋体" w:cs="Arial"/>
                <w:sz w:val="24"/>
                <w:szCs w:val="24"/>
              </w:rPr>
            </w:pPr>
            <w:r>
              <w:rPr>
                <w:rFonts w:hint="eastAsia" w:ascii="宋体" w:hAnsi="宋体" w:cs="Arial"/>
                <w:sz w:val="24"/>
                <w:szCs w:val="24"/>
              </w:rPr>
              <w:t>6</w:t>
            </w:r>
          </w:p>
        </w:tc>
        <w:tc>
          <w:tcPr>
            <w:tcW w:w="4125" w:type="dxa"/>
            <w:tcBorders>
              <w:top w:val="single" w:color="auto" w:sz="4" w:space="0"/>
              <w:left w:val="single" w:color="auto" w:sz="6" w:space="0"/>
              <w:bottom w:val="single" w:color="auto" w:sz="4" w:space="0"/>
              <w:right w:val="single" w:color="auto" w:sz="6" w:space="0"/>
            </w:tcBorders>
            <w:vAlign w:val="center"/>
          </w:tcPr>
          <w:p w14:paraId="75F10E42">
            <w:pPr>
              <w:pStyle w:val="41"/>
              <w:autoSpaceDE w:val="0"/>
              <w:autoSpaceDN w:val="0"/>
              <w:adjustRightInd w:val="0"/>
              <w:spacing w:line="360" w:lineRule="auto"/>
              <w:ind w:right="84" w:rightChars="40"/>
              <w:rPr>
                <w:rFonts w:ascii="宋体" w:hAnsi="宋体" w:cs="Arial"/>
                <w:sz w:val="24"/>
                <w:szCs w:val="24"/>
              </w:rPr>
            </w:pPr>
          </w:p>
        </w:tc>
        <w:tc>
          <w:tcPr>
            <w:tcW w:w="1995" w:type="dxa"/>
            <w:tcBorders>
              <w:top w:val="single" w:color="auto" w:sz="4" w:space="0"/>
              <w:left w:val="single" w:color="auto" w:sz="6" w:space="0"/>
              <w:bottom w:val="single" w:color="auto" w:sz="4" w:space="0"/>
              <w:right w:val="single" w:color="auto" w:sz="6" w:space="0"/>
            </w:tcBorders>
            <w:vAlign w:val="center"/>
          </w:tcPr>
          <w:p w14:paraId="1BBCCB53">
            <w:pPr>
              <w:pStyle w:val="41"/>
              <w:autoSpaceDE w:val="0"/>
              <w:autoSpaceDN w:val="0"/>
              <w:adjustRightInd w:val="0"/>
              <w:spacing w:line="360" w:lineRule="auto"/>
              <w:ind w:right="84" w:rightChars="40"/>
              <w:jc w:val="center"/>
              <w:rPr>
                <w:rFonts w:ascii="宋体" w:hAnsi="宋体" w:cs="Arial"/>
                <w:sz w:val="24"/>
                <w:szCs w:val="24"/>
              </w:rPr>
            </w:pPr>
          </w:p>
        </w:tc>
        <w:tc>
          <w:tcPr>
            <w:tcW w:w="2520" w:type="dxa"/>
            <w:tcBorders>
              <w:top w:val="single" w:color="auto" w:sz="4" w:space="0"/>
              <w:left w:val="single" w:color="auto" w:sz="6" w:space="0"/>
              <w:bottom w:val="single" w:color="auto" w:sz="4" w:space="0"/>
              <w:right w:val="single" w:color="auto" w:sz="4" w:space="0"/>
            </w:tcBorders>
            <w:vAlign w:val="center"/>
          </w:tcPr>
          <w:p w14:paraId="6BB2A5B6">
            <w:pPr>
              <w:pStyle w:val="41"/>
              <w:autoSpaceDE w:val="0"/>
              <w:autoSpaceDN w:val="0"/>
              <w:adjustRightInd w:val="0"/>
              <w:spacing w:line="360" w:lineRule="auto"/>
              <w:ind w:right="84" w:rightChars="40"/>
              <w:jc w:val="center"/>
              <w:rPr>
                <w:rFonts w:ascii="宋体" w:hAnsi="宋体" w:cs="Arial"/>
                <w:sz w:val="24"/>
                <w:szCs w:val="24"/>
              </w:rPr>
            </w:pPr>
          </w:p>
        </w:tc>
      </w:tr>
      <w:tr w14:paraId="7EB86FC3">
        <w:tblPrEx>
          <w:tblCellMar>
            <w:top w:w="0" w:type="dxa"/>
            <w:left w:w="30" w:type="dxa"/>
            <w:bottom w:w="0" w:type="dxa"/>
            <w:right w:w="30" w:type="dxa"/>
          </w:tblCellMar>
        </w:tblPrEx>
        <w:trPr>
          <w:trHeight w:val="454" w:hRule="exact"/>
        </w:trPr>
        <w:tc>
          <w:tcPr>
            <w:tcW w:w="750" w:type="dxa"/>
            <w:tcBorders>
              <w:top w:val="single" w:color="auto" w:sz="4" w:space="0"/>
              <w:left w:val="single" w:color="auto" w:sz="4" w:space="0"/>
              <w:bottom w:val="single" w:color="auto" w:sz="4" w:space="0"/>
              <w:right w:val="single" w:color="auto" w:sz="6" w:space="0"/>
            </w:tcBorders>
            <w:vAlign w:val="center"/>
          </w:tcPr>
          <w:p w14:paraId="031B4ABD">
            <w:pPr>
              <w:pStyle w:val="41"/>
              <w:autoSpaceDE w:val="0"/>
              <w:autoSpaceDN w:val="0"/>
              <w:adjustRightInd w:val="0"/>
              <w:spacing w:line="360" w:lineRule="auto"/>
              <w:ind w:right="84" w:rightChars="40"/>
              <w:jc w:val="center"/>
              <w:rPr>
                <w:rFonts w:ascii="宋体" w:hAnsi="宋体" w:cs="Arial"/>
                <w:sz w:val="24"/>
                <w:szCs w:val="24"/>
              </w:rPr>
            </w:pPr>
            <w:r>
              <w:rPr>
                <w:rFonts w:ascii="宋体" w:hAnsi="宋体" w:cs="Arial"/>
                <w:sz w:val="24"/>
                <w:szCs w:val="24"/>
              </w:rPr>
              <w:t>…</w:t>
            </w:r>
          </w:p>
        </w:tc>
        <w:tc>
          <w:tcPr>
            <w:tcW w:w="4125" w:type="dxa"/>
            <w:tcBorders>
              <w:top w:val="single" w:color="auto" w:sz="4" w:space="0"/>
              <w:left w:val="single" w:color="auto" w:sz="6" w:space="0"/>
              <w:bottom w:val="single" w:color="auto" w:sz="4" w:space="0"/>
              <w:right w:val="single" w:color="auto" w:sz="6" w:space="0"/>
            </w:tcBorders>
            <w:vAlign w:val="center"/>
          </w:tcPr>
          <w:p w14:paraId="0A8AA4FD">
            <w:pPr>
              <w:pStyle w:val="41"/>
              <w:autoSpaceDE w:val="0"/>
              <w:autoSpaceDN w:val="0"/>
              <w:adjustRightInd w:val="0"/>
              <w:spacing w:line="360" w:lineRule="auto"/>
              <w:ind w:right="84" w:rightChars="40"/>
              <w:rPr>
                <w:rFonts w:ascii="宋体" w:hAnsi="宋体" w:cs="Arial"/>
                <w:sz w:val="24"/>
                <w:szCs w:val="24"/>
              </w:rPr>
            </w:pPr>
          </w:p>
        </w:tc>
        <w:tc>
          <w:tcPr>
            <w:tcW w:w="1995" w:type="dxa"/>
            <w:tcBorders>
              <w:top w:val="single" w:color="auto" w:sz="4" w:space="0"/>
              <w:left w:val="single" w:color="auto" w:sz="6" w:space="0"/>
              <w:bottom w:val="single" w:color="auto" w:sz="4" w:space="0"/>
              <w:right w:val="single" w:color="auto" w:sz="6" w:space="0"/>
            </w:tcBorders>
            <w:vAlign w:val="center"/>
          </w:tcPr>
          <w:p w14:paraId="45AE02CC">
            <w:pPr>
              <w:pStyle w:val="41"/>
              <w:autoSpaceDE w:val="0"/>
              <w:autoSpaceDN w:val="0"/>
              <w:adjustRightInd w:val="0"/>
              <w:spacing w:line="360" w:lineRule="auto"/>
              <w:ind w:right="84" w:rightChars="40"/>
              <w:jc w:val="center"/>
              <w:rPr>
                <w:rFonts w:ascii="宋体" w:hAnsi="宋体" w:cs="Arial"/>
                <w:sz w:val="24"/>
                <w:szCs w:val="24"/>
              </w:rPr>
            </w:pPr>
          </w:p>
        </w:tc>
        <w:tc>
          <w:tcPr>
            <w:tcW w:w="2520" w:type="dxa"/>
            <w:tcBorders>
              <w:top w:val="single" w:color="auto" w:sz="4" w:space="0"/>
              <w:left w:val="single" w:color="auto" w:sz="6" w:space="0"/>
              <w:bottom w:val="single" w:color="auto" w:sz="4" w:space="0"/>
              <w:right w:val="single" w:color="auto" w:sz="4" w:space="0"/>
            </w:tcBorders>
            <w:vAlign w:val="center"/>
          </w:tcPr>
          <w:p w14:paraId="186CEE4F">
            <w:pPr>
              <w:pStyle w:val="41"/>
              <w:autoSpaceDE w:val="0"/>
              <w:autoSpaceDN w:val="0"/>
              <w:adjustRightInd w:val="0"/>
              <w:spacing w:line="360" w:lineRule="auto"/>
              <w:ind w:right="84" w:rightChars="40"/>
              <w:jc w:val="center"/>
              <w:rPr>
                <w:rFonts w:ascii="宋体" w:hAnsi="宋体" w:cs="Arial"/>
                <w:sz w:val="24"/>
                <w:szCs w:val="24"/>
              </w:rPr>
            </w:pPr>
          </w:p>
        </w:tc>
      </w:tr>
    </w:tbl>
    <w:p w14:paraId="61F7E0CA">
      <w:pPr>
        <w:pStyle w:val="41"/>
        <w:spacing w:line="360" w:lineRule="auto"/>
        <w:ind w:left="420"/>
        <w:rPr>
          <w:rFonts w:ascii="宋体" w:hAnsi="宋体"/>
          <w:b/>
          <w:sz w:val="24"/>
          <w:szCs w:val="24"/>
        </w:rPr>
      </w:pPr>
      <w:r>
        <w:rPr>
          <w:rFonts w:hint="eastAsia" w:ascii="宋体" w:hAnsi="宋体"/>
          <w:sz w:val="24"/>
          <w:szCs w:val="24"/>
        </w:rPr>
        <w:t>填报要求：请按第二章采购需求列出差异内容，若无差异，留空，视为完全响应。</w:t>
      </w:r>
    </w:p>
    <w:p w14:paraId="3D91B2F0"/>
    <w:p w14:paraId="2B762A0B"/>
    <w:p w14:paraId="67DDCE5F">
      <w:pPr>
        <w:sectPr>
          <w:pgSz w:w="11906" w:h="16838"/>
          <w:pgMar w:top="1440" w:right="1800" w:bottom="1440" w:left="1800" w:header="851" w:footer="992" w:gutter="0"/>
          <w:cols w:space="425" w:num="1"/>
          <w:docGrid w:type="lines" w:linePitch="312" w:charSpace="0"/>
        </w:sectPr>
      </w:pPr>
    </w:p>
    <w:p w14:paraId="6715DBFA">
      <w:pPr>
        <w:jc w:val="center"/>
        <w:outlineLvl w:val="1"/>
        <w:rPr>
          <w:rFonts w:ascii="宋体" w:hAnsi="宋体" w:eastAsia="宋体"/>
          <w:b/>
          <w:sz w:val="24"/>
        </w:rPr>
      </w:pPr>
      <w:r>
        <w:rPr>
          <w:rFonts w:ascii="宋体" w:hAnsi="宋体" w:eastAsia="宋体"/>
          <w:b/>
          <w:sz w:val="24"/>
        </w:rPr>
        <w:t>其他文件</w:t>
      </w:r>
    </w:p>
    <w:p w14:paraId="51E345CB">
      <w:pPr>
        <w:widowControl/>
        <w:spacing w:line="360" w:lineRule="auto"/>
        <w:jc w:val="center"/>
        <w:rPr>
          <w:rFonts w:ascii="宋体" w:hAnsi="宋体" w:eastAsia="宋体"/>
          <w:b/>
          <w:sz w:val="28"/>
          <w:szCs w:val="28"/>
          <w:lang w:val="en-GB"/>
        </w:rPr>
      </w:pPr>
      <w:r>
        <w:rPr>
          <w:rFonts w:hint="eastAsia" w:ascii="宋体" w:hAnsi="宋体" w:eastAsia="宋体"/>
          <w:b/>
          <w:sz w:val="28"/>
          <w:szCs w:val="28"/>
          <w:lang w:val="en-GB"/>
        </w:rPr>
        <w:t>须磋商现场提交原件的文件</w:t>
      </w:r>
    </w:p>
    <w:p w14:paraId="76E0023D">
      <w:pPr>
        <w:jc w:val="center"/>
        <w:rPr>
          <w:rFonts w:ascii="宋体" w:hAnsi="宋体" w:eastAsia="宋体"/>
          <w:b/>
          <w:sz w:val="24"/>
          <w:szCs w:val="24"/>
        </w:rPr>
      </w:pPr>
    </w:p>
    <w:p w14:paraId="313E30E3">
      <w:pPr>
        <w:rPr>
          <w:rFonts w:ascii="宋体" w:hAnsi="宋体"/>
          <w:b/>
          <w:sz w:val="24"/>
        </w:r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5670"/>
        <w:gridCol w:w="1497"/>
      </w:tblGrid>
      <w:tr w14:paraId="5ACF5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129" w:type="dxa"/>
            <w:vAlign w:val="center"/>
          </w:tcPr>
          <w:p w14:paraId="571D8448">
            <w:pPr>
              <w:jc w:val="center"/>
              <w:rPr>
                <w:rFonts w:ascii="宋体" w:hAnsi="宋体" w:eastAsia="宋体"/>
                <w:sz w:val="24"/>
              </w:rPr>
            </w:pPr>
            <w:r>
              <w:rPr>
                <w:rFonts w:hint="eastAsia" w:ascii="宋体" w:hAnsi="宋体" w:eastAsia="宋体"/>
                <w:sz w:val="24"/>
              </w:rPr>
              <w:t>1</w:t>
            </w:r>
          </w:p>
        </w:tc>
        <w:tc>
          <w:tcPr>
            <w:tcW w:w="5670" w:type="dxa"/>
          </w:tcPr>
          <w:p w14:paraId="634FC555">
            <w:pPr>
              <w:rPr>
                <w:rFonts w:ascii="宋体" w:hAnsi="宋体" w:eastAsia="宋体"/>
                <w:b/>
                <w:sz w:val="24"/>
              </w:rPr>
            </w:pPr>
            <w:r>
              <w:rPr>
                <w:rFonts w:hint="eastAsia" w:ascii="宋体" w:hAnsi="宋体" w:eastAsia="宋体"/>
                <w:b/>
                <w:sz w:val="24"/>
              </w:rPr>
              <w:t>法定代表人参加磋商的，磋商时提交：</w:t>
            </w:r>
            <w:r>
              <w:rPr>
                <w:rFonts w:hint="eastAsia" w:ascii="宋体" w:hAnsi="宋体" w:eastAsia="宋体"/>
                <w:sz w:val="24"/>
              </w:rPr>
              <w:t>法定代表人证明书（见格式文件）及法定代表人身份证原件。</w:t>
            </w:r>
          </w:p>
        </w:tc>
        <w:tc>
          <w:tcPr>
            <w:tcW w:w="1497" w:type="dxa"/>
            <w:vMerge w:val="restart"/>
            <w:vAlign w:val="center"/>
          </w:tcPr>
          <w:p w14:paraId="30F2D026">
            <w:pPr>
              <w:jc w:val="center"/>
              <w:rPr>
                <w:rFonts w:ascii="宋体" w:hAnsi="宋体" w:eastAsia="宋体"/>
                <w:b/>
                <w:sz w:val="24"/>
              </w:rPr>
            </w:pPr>
            <w:r>
              <w:rPr>
                <w:rFonts w:hint="eastAsia" w:ascii="宋体" w:hAnsi="宋体" w:eastAsia="宋体"/>
                <w:sz w:val="24"/>
              </w:rPr>
              <w:t>任选一种</w:t>
            </w:r>
          </w:p>
        </w:tc>
      </w:tr>
      <w:tr w14:paraId="0A9A8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129" w:type="dxa"/>
            <w:vAlign w:val="center"/>
          </w:tcPr>
          <w:p w14:paraId="529CE515">
            <w:pPr>
              <w:jc w:val="center"/>
              <w:rPr>
                <w:rFonts w:ascii="宋体" w:hAnsi="宋体" w:eastAsia="宋体"/>
                <w:sz w:val="24"/>
              </w:rPr>
            </w:pPr>
            <w:r>
              <w:rPr>
                <w:rFonts w:hint="eastAsia" w:ascii="宋体" w:hAnsi="宋体" w:eastAsia="宋体"/>
                <w:sz w:val="24"/>
              </w:rPr>
              <w:t>2</w:t>
            </w:r>
          </w:p>
        </w:tc>
        <w:tc>
          <w:tcPr>
            <w:tcW w:w="5670" w:type="dxa"/>
          </w:tcPr>
          <w:p w14:paraId="40F9569D">
            <w:pPr>
              <w:rPr>
                <w:rFonts w:ascii="宋体" w:hAnsi="宋体" w:eastAsia="宋体"/>
                <w:b/>
                <w:sz w:val="24"/>
              </w:rPr>
            </w:pPr>
            <w:r>
              <w:rPr>
                <w:rFonts w:hint="eastAsia" w:ascii="宋体" w:hAnsi="宋体" w:eastAsia="宋体"/>
                <w:b/>
                <w:sz w:val="24"/>
              </w:rPr>
              <w:t>委托代理人参加磋商的，磋商时提交：</w:t>
            </w:r>
            <w:r>
              <w:rPr>
                <w:rFonts w:hint="eastAsia" w:ascii="宋体" w:hAnsi="宋体" w:eastAsia="宋体"/>
                <w:sz w:val="24"/>
              </w:rPr>
              <w:t>授权委托证明书（见格式文件）及委托代理人身份证原件。</w:t>
            </w:r>
          </w:p>
        </w:tc>
        <w:tc>
          <w:tcPr>
            <w:tcW w:w="1497" w:type="dxa"/>
            <w:vMerge w:val="continue"/>
          </w:tcPr>
          <w:p w14:paraId="00D4E0E6">
            <w:pPr>
              <w:rPr>
                <w:rFonts w:ascii="宋体" w:hAnsi="宋体"/>
                <w:b/>
                <w:sz w:val="24"/>
              </w:rPr>
            </w:pPr>
          </w:p>
        </w:tc>
      </w:tr>
    </w:tbl>
    <w:p w14:paraId="30D6FD85">
      <w:pPr>
        <w:jc w:val="center"/>
        <w:rPr>
          <w:rFonts w:ascii="宋体" w:hAnsi="宋体" w:eastAsia="宋体"/>
          <w:b/>
          <w:sz w:val="24"/>
          <w:szCs w:val="24"/>
        </w:rPr>
        <w:sectPr>
          <w:pgSz w:w="11906" w:h="16838"/>
          <w:pgMar w:top="1440" w:right="1800" w:bottom="1440" w:left="1800" w:header="851" w:footer="992" w:gutter="0"/>
          <w:cols w:space="425" w:num="1"/>
          <w:docGrid w:type="lines" w:linePitch="312" w:charSpace="0"/>
        </w:sectPr>
      </w:pPr>
    </w:p>
    <w:p w14:paraId="1E3CD971">
      <w:pPr>
        <w:widowControl/>
        <w:spacing w:line="360" w:lineRule="auto"/>
        <w:jc w:val="center"/>
        <w:rPr>
          <w:rFonts w:ascii="宋体" w:hAnsi="宋体" w:eastAsia="宋体"/>
          <w:b/>
          <w:sz w:val="28"/>
          <w:szCs w:val="28"/>
        </w:rPr>
      </w:pPr>
      <w:r>
        <w:rPr>
          <w:rFonts w:hint="eastAsia" w:ascii="宋体" w:hAnsi="宋体" w:eastAsia="宋体"/>
          <w:b/>
          <w:sz w:val="28"/>
          <w:szCs w:val="28"/>
          <w:lang w:val="en-GB"/>
        </w:rPr>
        <w:t>法定代表人</w:t>
      </w:r>
      <w:r>
        <w:rPr>
          <w:rFonts w:hint="eastAsia" w:ascii="宋体" w:hAnsi="宋体" w:eastAsia="宋体"/>
          <w:b/>
          <w:sz w:val="28"/>
          <w:szCs w:val="28"/>
        </w:rPr>
        <w:t>证明书</w:t>
      </w:r>
    </w:p>
    <w:p w14:paraId="4783E474">
      <w:pPr>
        <w:spacing w:line="360" w:lineRule="auto"/>
        <w:jc w:val="center"/>
        <w:rPr>
          <w:rFonts w:ascii="宋体" w:hAnsi="宋体"/>
          <w:b/>
          <w:sz w:val="28"/>
          <w:szCs w:val="28"/>
        </w:rPr>
      </w:pPr>
    </w:p>
    <w:p w14:paraId="23E29DDD">
      <w:pPr>
        <w:spacing w:line="360" w:lineRule="auto"/>
        <w:rPr>
          <w:rFonts w:ascii="宋体" w:hAnsi="宋体" w:eastAsia="宋体"/>
          <w:sz w:val="24"/>
          <w:szCs w:val="24"/>
        </w:rPr>
      </w:pPr>
      <w:r>
        <w:rPr>
          <w:rFonts w:hint="eastAsia" w:ascii="宋体" w:hAnsi="宋体"/>
          <w:sz w:val="28"/>
          <w:szCs w:val="28"/>
        </w:rPr>
        <w:t xml:space="preserve">    </w:t>
      </w:r>
      <w:r>
        <w:rPr>
          <w:rFonts w:hint="eastAsia" w:ascii="宋体" w:hAnsi="宋体" w:eastAsia="宋体"/>
          <w:sz w:val="28"/>
          <w:szCs w:val="28"/>
        </w:rPr>
        <w:t xml:space="preserve"> </w:t>
      </w:r>
      <w:r>
        <w:rPr>
          <w:rFonts w:hint="eastAsia" w:ascii="宋体" w:hAnsi="宋体" w:eastAsia="宋体"/>
          <w:sz w:val="24"/>
          <w:szCs w:val="24"/>
          <w:u w:val="single"/>
        </w:rPr>
        <w:t xml:space="preserve">           </w:t>
      </w:r>
      <w:r>
        <w:rPr>
          <w:rFonts w:hint="eastAsia" w:ascii="宋体" w:hAnsi="宋体" w:eastAsia="宋体"/>
          <w:sz w:val="24"/>
          <w:szCs w:val="24"/>
        </w:rPr>
        <w:t>（身份证号码：</w:t>
      </w:r>
      <w:r>
        <w:rPr>
          <w:rFonts w:hint="eastAsia" w:ascii="宋体" w:hAnsi="宋体" w:eastAsia="宋体"/>
          <w:sz w:val="24"/>
          <w:szCs w:val="24"/>
          <w:u w:val="single"/>
        </w:rPr>
        <w:t xml:space="preserve">                        </w:t>
      </w:r>
      <w:r>
        <w:rPr>
          <w:rFonts w:hint="eastAsia" w:ascii="宋体" w:hAnsi="宋体" w:eastAsia="宋体"/>
          <w:sz w:val="24"/>
          <w:szCs w:val="24"/>
        </w:rPr>
        <w:t xml:space="preserve"> ）在我公司（或者企业、单位）任</w:t>
      </w:r>
      <w:r>
        <w:rPr>
          <w:rFonts w:hint="eastAsia" w:ascii="宋体" w:hAnsi="宋体" w:eastAsia="宋体"/>
          <w:sz w:val="24"/>
          <w:szCs w:val="24"/>
          <w:u w:val="single"/>
        </w:rPr>
        <w:t xml:space="preserve">             </w:t>
      </w:r>
      <w:r>
        <w:rPr>
          <w:rFonts w:hint="eastAsia" w:ascii="宋体" w:hAnsi="宋体" w:eastAsia="宋体"/>
          <w:sz w:val="24"/>
          <w:szCs w:val="24"/>
        </w:rPr>
        <w:t>职务，是我公司（或者企业、单位）的法定代表人。</w:t>
      </w:r>
    </w:p>
    <w:p w14:paraId="1CD03807">
      <w:pPr>
        <w:spacing w:line="360" w:lineRule="auto"/>
        <w:ind w:firstLine="808" w:firstLineChars="337"/>
        <w:rPr>
          <w:rFonts w:ascii="宋体" w:hAnsi="宋体" w:eastAsia="宋体"/>
          <w:sz w:val="24"/>
          <w:szCs w:val="24"/>
        </w:rPr>
      </w:pPr>
      <w:r>
        <w:rPr>
          <w:rFonts w:hint="eastAsia" w:ascii="宋体" w:hAnsi="宋体" w:eastAsia="宋体"/>
          <w:sz w:val="24"/>
          <w:szCs w:val="24"/>
        </w:rPr>
        <w:t>特此证明。</w:t>
      </w:r>
    </w:p>
    <w:p w14:paraId="70E8A8F1">
      <w:pPr>
        <w:spacing w:line="360" w:lineRule="auto"/>
        <w:rPr>
          <w:rFonts w:ascii="宋体" w:hAnsi="宋体" w:eastAsia="宋体"/>
          <w:sz w:val="24"/>
          <w:szCs w:val="24"/>
        </w:rPr>
      </w:pPr>
    </w:p>
    <w:p w14:paraId="0CB6FBA5">
      <w:pPr>
        <w:spacing w:line="360" w:lineRule="auto"/>
        <w:ind w:left="4253" w:leftChars="2025" w:firstLine="960" w:firstLineChars="400"/>
        <w:rPr>
          <w:rFonts w:ascii="宋体" w:hAnsi="宋体" w:eastAsia="宋体"/>
          <w:sz w:val="24"/>
          <w:szCs w:val="24"/>
        </w:rPr>
      </w:pPr>
    </w:p>
    <w:p w14:paraId="672F03B4">
      <w:pPr>
        <w:spacing w:line="360" w:lineRule="auto"/>
        <w:ind w:left="4471" w:leftChars="2129" w:firstLine="696" w:firstLineChars="290"/>
        <w:rPr>
          <w:rFonts w:ascii="宋体" w:hAnsi="宋体" w:eastAsia="宋体" w:cs="Arial"/>
          <w:sz w:val="24"/>
          <w:szCs w:val="24"/>
        </w:rPr>
      </w:pPr>
      <w:r>
        <w:rPr>
          <w:rFonts w:hint="eastAsia" w:ascii="宋体" w:hAnsi="宋体" w:eastAsia="宋体"/>
          <w:sz w:val="24"/>
          <w:szCs w:val="24"/>
        </w:rPr>
        <w:t>日期：</w:t>
      </w:r>
      <w:r>
        <w:rPr>
          <w:rFonts w:hint="eastAsia" w:ascii="宋体" w:hAnsi="宋体" w:eastAsia="宋体" w:cs="Arial"/>
          <w:sz w:val="24"/>
          <w:szCs w:val="24"/>
        </w:rPr>
        <w:t>20  年   月   日</w:t>
      </w:r>
    </w:p>
    <w:p w14:paraId="110E22F1">
      <w:pPr>
        <w:spacing w:line="360" w:lineRule="auto"/>
        <w:ind w:left="4471" w:leftChars="2129" w:firstLine="696" w:firstLineChars="290"/>
        <w:rPr>
          <w:rFonts w:ascii="宋体" w:hAnsi="宋体" w:eastAsia="宋体"/>
          <w:sz w:val="24"/>
          <w:szCs w:val="24"/>
        </w:rPr>
      </w:pPr>
    </w:p>
    <w:p w14:paraId="0B30E7EF">
      <w:pPr>
        <w:spacing w:line="360" w:lineRule="auto"/>
        <w:rPr>
          <w:rFonts w:ascii="宋体" w:hAnsi="宋体" w:eastAsia="宋体"/>
          <w:sz w:val="30"/>
          <w:szCs w:val="30"/>
        </w:rPr>
      </w:pPr>
    </w:p>
    <w:p w14:paraId="464BA9C7">
      <w:pPr>
        <w:spacing w:line="360" w:lineRule="auto"/>
        <w:rPr>
          <w:rFonts w:ascii="宋体" w:hAnsi="宋体" w:eastAsia="宋体"/>
          <w:sz w:val="28"/>
          <w:szCs w:val="28"/>
        </w:rPr>
      </w:pPr>
    </w:p>
    <w:p w14:paraId="66B9F483">
      <w:pPr>
        <w:spacing w:line="360" w:lineRule="auto"/>
        <w:rPr>
          <w:rFonts w:ascii="宋体" w:hAnsi="宋体" w:eastAsia="宋体"/>
          <w:sz w:val="28"/>
          <w:szCs w:val="28"/>
        </w:rPr>
      </w:pPr>
    </w:p>
    <w:p w14:paraId="221F46A8">
      <w:pPr>
        <w:pStyle w:val="7"/>
        <w:spacing w:line="360" w:lineRule="auto"/>
        <w:ind w:left="2"/>
        <w:rPr>
          <w:rFonts w:hAnsi="宋体" w:eastAsia="宋体" w:cs="仿宋_GB2312"/>
          <w:lang w:val="zh-CN"/>
        </w:rPr>
      </w:pPr>
      <w:r>
        <w:rPr>
          <w:rFonts w:hint="eastAsia" w:hAnsi="宋体" w:eastAsia="宋体" w:cs="仿宋_GB2312"/>
          <w:lang w:val="zh-CN"/>
        </w:rPr>
        <w:t>说明：法定代表人参加磋商的，磋商时提交法定代表人证明书(盖</w:t>
      </w:r>
      <w:r>
        <w:rPr>
          <w:rFonts w:hAnsi="宋体" w:eastAsia="宋体" w:cs="仿宋_GB2312"/>
          <w:lang w:val="zh-CN"/>
        </w:rPr>
        <w:t>单位公章</w:t>
      </w:r>
      <w:r>
        <w:rPr>
          <w:rFonts w:hint="eastAsia" w:hAnsi="宋体" w:eastAsia="宋体" w:cs="仿宋_GB2312"/>
          <w:lang w:val="zh-CN"/>
        </w:rPr>
        <w:t>)及法定代表人身份证原件。证明书可使用上述格式，也可使用工商部门统一印制的法定代表人证明书格式。</w:t>
      </w:r>
    </w:p>
    <w:p w14:paraId="52732590">
      <w:pPr>
        <w:pStyle w:val="7"/>
        <w:spacing w:line="360" w:lineRule="auto"/>
        <w:ind w:left="768" w:hanging="768" w:hangingChars="300"/>
        <w:rPr>
          <w:rFonts w:hAnsi="宋体" w:eastAsia="宋体" w:cs="仿宋_GB2312"/>
          <w:lang w:val="zh-CN"/>
        </w:rPr>
      </w:pPr>
    </w:p>
    <w:p w14:paraId="39D00BFF">
      <w:pPr>
        <w:pStyle w:val="7"/>
        <w:spacing w:line="360" w:lineRule="auto"/>
        <w:ind w:left="768" w:hanging="768" w:hangingChars="300"/>
        <w:rPr>
          <w:rFonts w:hAnsi="宋体" w:eastAsia="宋体" w:cs="仿宋_GB2312"/>
          <w:lang w:val="zh-CN"/>
        </w:rPr>
      </w:pPr>
    </w:p>
    <w:p w14:paraId="61B2D642">
      <w:pPr>
        <w:pStyle w:val="7"/>
        <w:spacing w:line="360" w:lineRule="auto"/>
        <w:ind w:left="768" w:hanging="768" w:hangingChars="300"/>
        <w:rPr>
          <w:rFonts w:hAnsi="宋体" w:eastAsia="宋体" w:cs="仿宋_GB2312"/>
          <w:lang w:val="zh-CN"/>
        </w:rPr>
      </w:pPr>
    </w:p>
    <w:p w14:paraId="770D10B8">
      <w:pPr>
        <w:pStyle w:val="7"/>
        <w:spacing w:line="360" w:lineRule="auto"/>
        <w:ind w:left="768" w:hanging="768" w:hangingChars="300"/>
        <w:rPr>
          <w:rFonts w:hAnsi="宋体" w:eastAsia="宋体" w:cs="仿宋_GB2312"/>
          <w:lang w:val="zh-CN"/>
        </w:rPr>
      </w:pPr>
    </w:p>
    <w:p w14:paraId="4D6073BB">
      <w:pPr>
        <w:pStyle w:val="7"/>
        <w:spacing w:line="360" w:lineRule="auto"/>
        <w:ind w:left="768" w:hanging="768" w:hangingChars="300"/>
        <w:rPr>
          <w:rFonts w:hAnsi="宋体" w:eastAsia="宋体" w:cs="仿宋_GB2312"/>
          <w:lang w:val="zh-CN"/>
        </w:rPr>
      </w:pPr>
    </w:p>
    <w:p w14:paraId="617905EE">
      <w:pPr>
        <w:pStyle w:val="7"/>
        <w:spacing w:line="360" w:lineRule="auto"/>
        <w:ind w:left="768" w:hanging="768" w:hangingChars="300"/>
        <w:rPr>
          <w:rFonts w:hAnsi="宋体" w:eastAsia="宋体" w:cs="仿宋_GB2312"/>
          <w:lang w:val="zh-CN"/>
        </w:rPr>
      </w:pPr>
    </w:p>
    <w:p w14:paraId="48701E91">
      <w:pPr>
        <w:pStyle w:val="7"/>
        <w:spacing w:line="360" w:lineRule="auto"/>
        <w:ind w:left="768" w:hanging="768" w:hangingChars="300"/>
        <w:rPr>
          <w:rFonts w:hAnsi="宋体" w:eastAsia="宋体" w:cs="仿宋_GB2312"/>
          <w:lang w:val="zh-CN"/>
        </w:rPr>
      </w:pPr>
    </w:p>
    <w:p w14:paraId="0410CA6E">
      <w:pPr>
        <w:pStyle w:val="7"/>
        <w:spacing w:line="360" w:lineRule="auto"/>
        <w:ind w:left="768" w:hanging="768" w:hangingChars="300"/>
        <w:rPr>
          <w:rFonts w:hAnsi="宋体" w:eastAsia="宋体" w:cs="仿宋_GB2312"/>
          <w:lang w:val="zh-CN"/>
        </w:rPr>
      </w:pPr>
    </w:p>
    <w:p w14:paraId="53E8474F">
      <w:pPr>
        <w:pStyle w:val="7"/>
        <w:spacing w:line="360" w:lineRule="auto"/>
        <w:ind w:left="768" w:hanging="768" w:hangingChars="300"/>
        <w:rPr>
          <w:rFonts w:hAnsi="宋体" w:eastAsia="宋体" w:cs="仿宋_GB2312"/>
          <w:lang w:val="zh-CN"/>
        </w:rPr>
      </w:pPr>
    </w:p>
    <w:p w14:paraId="58C9A93A">
      <w:pPr>
        <w:pStyle w:val="7"/>
        <w:spacing w:line="360" w:lineRule="auto"/>
        <w:ind w:left="768" w:hanging="768" w:hangingChars="300"/>
        <w:rPr>
          <w:rFonts w:hAnsi="宋体" w:eastAsia="宋体" w:cs="仿宋_GB2312"/>
          <w:lang w:val="zh-CN"/>
        </w:rPr>
      </w:pPr>
    </w:p>
    <w:p w14:paraId="4C6CD251">
      <w:pPr>
        <w:pStyle w:val="7"/>
        <w:spacing w:line="360" w:lineRule="auto"/>
        <w:ind w:left="768" w:hanging="768" w:hangingChars="300"/>
        <w:rPr>
          <w:rFonts w:hAnsi="宋体" w:eastAsia="宋体" w:cs="仿宋_GB2312"/>
          <w:lang w:val="zh-CN"/>
        </w:rPr>
      </w:pPr>
    </w:p>
    <w:p w14:paraId="6C340C89">
      <w:pPr>
        <w:pStyle w:val="7"/>
        <w:spacing w:line="360" w:lineRule="auto"/>
        <w:ind w:left="768" w:hanging="768" w:hangingChars="300"/>
        <w:rPr>
          <w:rFonts w:hAnsi="宋体" w:eastAsia="宋体" w:cs="仿宋_GB2312"/>
          <w:lang w:val="zh-CN"/>
        </w:rPr>
      </w:pPr>
    </w:p>
    <w:p w14:paraId="6290FF35">
      <w:pPr>
        <w:widowControl/>
        <w:spacing w:line="360" w:lineRule="auto"/>
        <w:jc w:val="center"/>
        <w:rPr>
          <w:rFonts w:ascii="宋体" w:hAnsi="宋体" w:eastAsia="宋体"/>
          <w:b/>
          <w:sz w:val="28"/>
          <w:szCs w:val="28"/>
          <w:lang w:val="en-GB"/>
        </w:rPr>
      </w:pPr>
      <w:r>
        <w:rPr>
          <w:rFonts w:hint="eastAsia" w:ascii="宋体" w:hAnsi="宋体" w:eastAsia="宋体"/>
          <w:b/>
          <w:sz w:val="28"/>
          <w:szCs w:val="28"/>
          <w:lang w:val="en-GB"/>
        </w:rPr>
        <w:t>授权委托证明书</w:t>
      </w:r>
    </w:p>
    <w:p w14:paraId="1C516306">
      <w:pPr>
        <w:spacing w:line="360" w:lineRule="auto"/>
        <w:ind w:firstLine="424" w:firstLineChars="177"/>
        <w:rPr>
          <w:rFonts w:ascii="宋体" w:hAnsi="宋体"/>
          <w:bCs/>
          <w:sz w:val="24"/>
          <w:szCs w:val="24"/>
        </w:rPr>
      </w:pPr>
    </w:p>
    <w:p w14:paraId="6FC3F331">
      <w:pPr>
        <w:spacing w:line="360" w:lineRule="auto"/>
        <w:ind w:firstLine="424" w:firstLineChars="177"/>
        <w:rPr>
          <w:rFonts w:ascii="宋体" w:hAnsi="宋体" w:eastAsia="宋体"/>
          <w:bCs/>
          <w:sz w:val="24"/>
          <w:szCs w:val="24"/>
        </w:rPr>
      </w:pPr>
      <w:r>
        <w:rPr>
          <w:rFonts w:hint="eastAsia" w:ascii="宋体" w:hAnsi="宋体" w:eastAsia="宋体"/>
          <w:bCs/>
          <w:sz w:val="24"/>
          <w:szCs w:val="24"/>
        </w:rPr>
        <w:t>兹授权</w:t>
      </w:r>
      <w:r>
        <w:rPr>
          <w:rFonts w:hint="eastAsia" w:ascii="宋体" w:hAnsi="宋体" w:eastAsia="宋体"/>
          <w:bCs/>
          <w:sz w:val="24"/>
          <w:szCs w:val="24"/>
          <w:u w:val="single"/>
        </w:rPr>
        <w:t xml:space="preserve">                  </w:t>
      </w:r>
      <w:r>
        <w:rPr>
          <w:rFonts w:hint="eastAsia" w:ascii="宋体" w:hAnsi="宋体" w:eastAsia="宋体"/>
          <w:bCs/>
          <w:sz w:val="24"/>
          <w:szCs w:val="24"/>
        </w:rPr>
        <w:t>（委托代理人姓名）为我方委托代理人，其权限是：</w:t>
      </w:r>
      <w:r>
        <w:rPr>
          <w:rFonts w:hint="eastAsia" w:ascii="宋体" w:hAnsi="宋体" w:eastAsia="宋体"/>
          <w:sz w:val="24"/>
          <w:szCs w:val="24"/>
        </w:rPr>
        <w:t>办理广州市政府采购中心组织的“</w:t>
      </w:r>
      <w:r>
        <w:rPr>
          <w:rFonts w:ascii="宋体" w:hAnsi="宋体" w:eastAsia="宋体"/>
          <w:sz w:val="24"/>
          <w:szCs w:val="24"/>
          <w:u w:val="single"/>
        </w:rPr>
        <w:t xml:space="preserve">          </w:t>
      </w:r>
      <w:r>
        <w:rPr>
          <w:rFonts w:hint="eastAsia" w:ascii="宋体" w:hAnsi="宋体" w:eastAsia="宋体"/>
          <w:sz w:val="24"/>
          <w:szCs w:val="24"/>
        </w:rPr>
        <w:t>”(项目编号：</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)的磋商事宜。</w:t>
      </w:r>
      <w:r>
        <w:rPr>
          <w:rFonts w:hint="eastAsia" w:ascii="宋体" w:hAnsi="宋体" w:eastAsia="宋体"/>
          <w:sz w:val="24"/>
          <w:szCs w:val="24"/>
          <w:lang w:val="en-GB"/>
        </w:rPr>
        <w:t>本</w:t>
      </w:r>
      <w:r>
        <w:rPr>
          <w:rFonts w:hint="eastAsia" w:ascii="宋体" w:hAnsi="宋体" w:eastAsia="宋体"/>
          <w:sz w:val="24"/>
          <w:szCs w:val="24"/>
        </w:rPr>
        <w:t>授权书</w:t>
      </w:r>
      <w:r>
        <w:rPr>
          <w:rFonts w:hint="eastAsia" w:ascii="宋体" w:hAnsi="宋体" w:eastAsia="宋体"/>
          <w:sz w:val="24"/>
          <w:szCs w:val="24"/>
          <w:lang w:val="en-GB"/>
        </w:rPr>
        <w:t>有效期与我方</w:t>
      </w:r>
      <w:r>
        <w:rPr>
          <w:rFonts w:hint="eastAsia" w:ascii="宋体" w:hAnsi="宋体" w:eastAsia="宋体"/>
          <w:sz w:val="24"/>
          <w:szCs w:val="24"/>
        </w:rPr>
        <w:t>响应</w:t>
      </w:r>
      <w:r>
        <w:rPr>
          <w:rFonts w:hint="eastAsia" w:ascii="宋体" w:hAnsi="宋体" w:eastAsia="宋体"/>
          <w:sz w:val="24"/>
          <w:szCs w:val="24"/>
          <w:lang w:val="en-GB"/>
        </w:rPr>
        <w:t>文件中标注的报价有效期相同。</w:t>
      </w:r>
    </w:p>
    <w:p w14:paraId="3D80F3ED">
      <w:pPr>
        <w:spacing w:line="360" w:lineRule="auto"/>
        <w:rPr>
          <w:rFonts w:ascii="宋体" w:hAnsi="宋体" w:eastAsia="宋体"/>
          <w:sz w:val="24"/>
          <w:szCs w:val="24"/>
          <w:u w:val="single"/>
        </w:rPr>
      </w:pPr>
      <w:r>
        <w:rPr>
          <w:rFonts w:hint="eastAsia" w:ascii="宋体" w:hAnsi="宋体" w:eastAsia="宋体"/>
          <w:sz w:val="24"/>
          <w:szCs w:val="24"/>
        </w:rPr>
        <w:t>附：代理人性别：</w:t>
      </w:r>
      <w:r>
        <w:rPr>
          <w:rFonts w:hint="eastAsia" w:ascii="宋体" w:hAnsi="宋体" w:eastAsia="宋体"/>
          <w:sz w:val="24"/>
          <w:szCs w:val="24"/>
          <w:u w:val="single"/>
        </w:rPr>
        <w:t xml:space="preserve">    </w:t>
      </w:r>
      <w:r>
        <w:rPr>
          <w:rFonts w:hint="eastAsia" w:ascii="宋体" w:hAnsi="宋体" w:eastAsia="宋体"/>
          <w:sz w:val="24"/>
          <w:szCs w:val="24"/>
        </w:rPr>
        <w:t xml:space="preserve">   年龄：</w:t>
      </w:r>
      <w:r>
        <w:rPr>
          <w:rFonts w:hint="eastAsia" w:ascii="宋体" w:hAnsi="宋体" w:eastAsia="宋体"/>
          <w:sz w:val="24"/>
          <w:szCs w:val="24"/>
          <w:u w:val="single"/>
        </w:rPr>
        <w:t xml:space="preserve">     </w:t>
      </w:r>
      <w:r>
        <w:rPr>
          <w:rFonts w:hint="eastAsia" w:ascii="宋体" w:hAnsi="宋体" w:eastAsia="宋体"/>
          <w:sz w:val="24"/>
          <w:szCs w:val="24"/>
        </w:rPr>
        <w:t xml:space="preserve">   职务：</w:t>
      </w:r>
      <w:r>
        <w:rPr>
          <w:rFonts w:hint="eastAsia" w:ascii="宋体" w:hAnsi="宋体" w:eastAsia="宋体"/>
          <w:sz w:val="24"/>
          <w:szCs w:val="24"/>
          <w:u w:val="single"/>
        </w:rPr>
        <w:t xml:space="preserve">               </w:t>
      </w:r>
    </w:p>
    <w:p w14:paraId="2456ABE4">
      <w:pPr>
        <w:spacing w:line="360" w:lineRule="auto"/>
        <w:rPr>
          <w:rFonts w:ascii="宋体" w:hAnsi="宋体" w:eastAsia="宋体"/>
          <w:sz w:val="24"/>
          <w:szCs w:val="24"/>
          <w:u w:val="single"/>
        </w:rPr>
      </w:pPr>
      <w:r>
        <w:rPr>
          <w:rFonts w:hint="eastAsia" w:ascii="宋体" w:hAnsi="宋体" w:eastAsia="宋体"/>
          <w:sz w:val="24"/>
          <w:szCs w:val="24"/>
        </w:rPr>
        <w:t>　　身份证号码：</w:t>
      </w:r>
      <w:r>
        <w:rPr>
          <w:rFonts w:hint="eastAsia" w:ascii="宋体" w:hAnsi="宋体" w:eastAsia="宋体"/>
          <w:sz w:val="24"/>
          <w:szCs w:val="24"/>
          <w:u w:val="single"/>
        </w:rPr>
        <w:t xml:space="preserve">                     </w:t>
      </w:r>
    </w:p>
    <w:p w14:paraId="18701C7C">
      <w:pPr>
        <w:spacing w:line="360" w:lineRule="auto"/>
        <w:rPr>
          <w:rFonts w:ascii="宋体" w:hAnsi="宋体" w:eastAsia="宋体"/>
          <w:sz w:val="24"/>
          <w:szCs w:val="24"/>
          <w:u w:val="single"/>
        </w:rPr>
      </w:pPr>
      <w:r>
        <w:rPr>
          <w:rFonts w:hint="eastAsia" w:ascii="宋体" w:hAnsi="宋体" w:eastAsia="宋体"/>
          <w:sz w:val="24"/>
          <w:szCs w:val="24"/>
        </w:rPr>
        <w:t>　　</w:t>
      </w:r>
    </w:p>
    <w:p w14:paraId="5063EEDF">
      <w:pPr>
        <w:spacing w:line="360" w:lineRule="auto"/>
        <w:rPr>
          <w:rFonts w:ascii="宋体" w:hAnsi="宋体" w:eastAsia="宋体"/>
          <w:sz w:val="24"/>
          <w:szCs w:val="24"/>
          <w:u w:val="single"/>
        </w:rPr>
      </w:pPr>
      <w:r>
        <w:rPr>
          <w:rFonts w:hint="eastAsia" w:ascii="宋体" w:hAnsi="宋体" w:eastAsia="宋体"/>
          <w:sz w:val="24"/>
          <w:szCs w:val="24"/>
        </w:rPr>
        <w:t>　　　　　　　</w:t>
      </w:r>
    </w:p>
    <w:p w14:paraId="0888AE17">
      <w:pPr>
        <w:spacing w:line="360" w:lineRule="auto"/>
        <w:jc w:val="right"/>
        <w:rPr>
          <w:rFonts w:ascii="宋体" w:hAnsi="宋体" w:eastAsia="宋体"/>
          <w:sz w:val="24"/>
          <w:szCs w:val="24"/>
        </w:rPr>
      </w:pPr>
    </w:p>
    <w:p w14:paraId="67EE8D7B">
      <w:pPr>
        <w:spacing w:line="360" w:lineRule="auto"/>
        <w:jc w:val="right"/>
        <w:rPr>
          <w:rFonts w:ascii="宋体" w:hAnsi="宋体" w:eastAsia="宋体"/>
          <w:sz w:val="24"/>
          <w:szCs w:val="24"/>
        </w:rPr>
      </w:pPr>
    </w:p>
    <w:p w14:paraId="42AF6EC9">
      <w:pPr>
        <w:spacing w:line="360" w:lineRule="auto"/>
        <w:jc w:val="right"/>
        <w:rPr>
          <w:rFonts w:ascii="宋体" w:hAnsi="宋体" w:eastAsia="宋体" w:cs="Arial"/>
          <w:sz w:val="24"/>
          <w:szCs w:val="24"/>
        </w:rPr>
      </w:pPr>
      <w:r>
        <w:rPr>
          <w:rFonts w:hint="eastAsia" w:ascii="宋体" w:hAnsi="宋体" w:eastAsia="宋体" w:cs="Arial"/>
          <w:sz w:val="24"/>
          <w:szCs w:val="24"/>
        </w:rPr>
        <w:t>20  年   月   日</w:t>
      </w:r>
    </w:p>
    <w:p w14:paraId="2DFA71D2">
      <w:pPr>
        <w:spacing w:line="360" w:lineRule="auto"/>
        <w:jc w:val="right"/>
        <w:rPr>
          <w:rFonts w:ascii="宋体" w:hAnsi="宋体" w:eastAsia="宋体"/>
          <w:sz w:val="24"/>
          <w:szCs w:val="24"/>
        </w:rPr>
      </w:pPr>
    </w:p>
    <w:p w14:paraId="52ED70F1">
      <w:pPr>
        <w:pStyle w:val="7"/>
        <w:spacing w:line="360" w:lineRule="auto"/>
        <w:jc w:val="left"/>
        <w:rPr>
          <w:rFonts w:hAnsi="宋体" w:eastAsia="宋体"/>
        </w:rPr>
      </w:pPr>
    </w:p>
    <w:p w14:paraId="5AD7BA81">
      <w:pPr>
        <w:pStyle w:val="7"/>
        <w:spacing w:line="360" w:lineRule="auto"/>
        <w:jc w:val="left"/>
        <w:rPr>
          <w:rFonts w:hAnsi="宋体" w:eastAsia="宋体"/>
        </w:rPr>
      </w:pPr>
    </w:p>
    <w:p w14:paraId="7106D7EE">
      <w:pPr>
        <w:pStyle w:val="7"/>
        <w:spacing w:line="360" w:lineRule="auto"/>
        <w:ind w:left="1" w:firstLine="355" w:firstLineChars="139"/>
        <w:rPr>
          <w:rFonts w:hAnsi="宋体" w:eastAsia="宋体" w:cs="仿宋_GB2312"/>
          <w:lang w:val="zh-CN"/>
        </w:rPr>
      </w:pPr>
      <w:r>
        <w:rPr>
          <w:rFonts w:hint="eastAsia" w:hAnsi="宋体" w:eastAsia="宋体" w:cs="仿宋_GB2312"/>
          <w:lang w:val="zh-CN"/>
        </w:rPr>
        <w:t>说明：委托代理人参加磋商的，磋商时提交本本授权委托证明书(盖单位公章)及</w:t>
      </w:r>
      <w:r>
        <w:rPr>
          <w:rFonts w:hint="eastAsia" w:hAnsi="宋体" w:eastAsia="宋体" w:cs="仿宋_GB2312"/>
          <w:color w:val="000000"/>
          <w:lang w:val="zh-CN"/>
        </w:rPr>
        <w:t>委托代理人</w:t>
      </w:r>
      <w:r>
        <w:rPr>
          <w:rFonts w:hint="eastAsia" w:hAnsi="宋体" w:eastAsia="宋体" w:cs="仿宋_GB2312"/>
          <w:lang w:val="zh-CN"/>
        </w:rPr>
        <w:t>身份证原件。</w:t>
      </w:r>
    </w:p>
    <w:p w14:paraId="48FA01F4">
      <w:pPr>
        <w:jc w:val="center"/>
        <w:rPr>
          <w:rFonts w:ascii="宋体" w:hAnsi="宋体" w:eastAsia="宋体"/>
          <w:b/>
          <w:sz w:val="24"/>
          <w:szCs w:val="24"/>
        </w:rPr>
      </w:pPr>
    </w:p>
    <w:p w14:paraId="09BF5FD0"/>
    <w:p w14:paraId="6D639F4B"/>
    <w:p w14:paraId="67B275B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D08473">
    <w:pPr>
      <w:pStyle w:val="8"/>
      <w:framePr w:wrap="around" w:vAnchor="text" w:hAnchor="margin" w:xAlign="center" w:y="1"/>
      <w:rPr>
        <w:rStyle w:val="17"/>
      </w:rPr>
    </w:pPr>
    <w:r>
      <w:rPr>
        <w:rStyle w:val="17"/>
      </w:rPr>
      <w:fldChar w:fldCharType="begin"/>
    </w:r>
    <w:r>
      <w:rPr>
        <w:rStyle w:val="17"/>
      </w:rPr>
      <w:instrText xml:space="preserve"> PAGE </w:instrText>
    </w:r>
    <w:r>
      <w:rPr>
        <w:rStyle w:val="17"/>
      </w:rPr>
      <w:fldChar w:fldCharType="separate"/>
    </w:r>
    <w:r>
      <w:rPr>
        <w:rStyle w:val="17"/>
      </w:rPr>
      <w:t>2</w:t>
    </w:r>
    <w:r>
      <w:rPr>
        <w:rStyle w:val="17"/>
      </w:rPr>
      <w:fldChar w:fldCharType="end"/>
    </w:r>
  </w:p>
  <w:p w14:paraId="1569F886">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A7C5A7">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787E6">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86BA3A">
    <w:pPr>
      <w:pStyle w:val="9"/>
    </w:pPr>
    <w:r>
      <w:rPr>
        <w:rFonts w:hint="eastAsia"/>
      </w:rPr>
      <w:t>广州市政府采购中心竞争性磋商文件</w:t>
    </w:r>
    <w:r>
      <w:t xml:space="preserve">                             项目编号：CC2023-0104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9C1381">
    <w:pPr>
      <w:pStyle w:val="9"/>
    </w:pPr>
    <w:r>
      <w:rPr>
        <w:rFonts w:hint="eastAsia"/>
      </w:rPr>
      <w:t>广州市政府采购中心竞争性磋商文件</w:t>
    </w:r>
    <w:r>
      <w:t xml:space="preserve">                             项目编号：CC2023-0104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9F127">
    <w:pPr>
      <w:pStyle w:val="9"/>
    </w:pPr>
    <w:r>
      <w:rPr>
        <w:rFonts w:hint="eastAsia"/>
      </w:rPr>
      <w:t>广州市政府采购中心竞争性磋商文件</w:t>
    </w:r>
    <w:r>
      <w:t xml:space="preserve">                             项目编号：CC2023-0104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0"/>
    <w:multiLevelType w:val="multilevel"/>
    <w:tmpl w:val="00000010"/>
    <w:lvl w:ilvl="0" w:tentative="0">
      <w:start w:val="1"/>
      <w:numFmt w:val="chineseCountingThousand"/>
      <w:lvlText w:val="%1、"/>
      <w:lvlJc w:val="left"/>
      <w:pPr>
        <w:ind w:left="425" w:hanging="425"/>
      </w:pPr>
      <w:rPr>
        <w:rFonts w:hint="default"/>
        <w:b w:val="0"/>
      </w:rPr>
    </w:lvl>
    <w:lvl w:ilvl="1" w:tentative="0">
      <w:start w:val="1"/>
      <w:numFmt w:val="chineseCountingThousand"/>
      <w:lvlText w:val="（%2）"/>
      <w:lvlJc w:val="left"/>
      <w:pPr>
        <w:ind w:left="567" w:hanging="567"/>
      </w:pPr>
      <w:rPr>
        <w:rFonts w:hint="default"/>
      </w:rPr>
    </w:lvl>
    <w:lvl w:ilvl="2" w:tentative="0">
      <w:start w:val="1"/>
      <w:numFmt w:val="decimal"/>
      <w:lvlText w:val="%3."/>
      <w:lvlJc w:val="left"/>
      <w:pPr>
        <w:ind w:left="709" w:hanging="709"/>
      </w:pPr>
      <w:rPr>
        <w:rFonts w:hint="eastAsia"/>
      </w:rPr>
    </w:lvl>
    <w:lvl w:ilvl="3" w:tentative="0">
      <w:start w:val="1"/>
      <w:numFmt w:val="decimal"/>
      <w:lvlText w:val="(%4)"/>
      <w:lvlJc w:val="left"/>
      <w:pPr>
        <w:ind w:left="851" w:hanging="851"/>
      </w:pPr>
      <w:rPr>
        <w:rFonts w:hint="eastAsia"/>
      </w:rPr>
    </w:lvl>
    <w:lvl w:ilvl="4" w:tentative="0">
      <w:start w:val="1"/>
      <w:numFmt w:val="lowerLetter"/>
      <w:lvlText w:val="%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1">
    <w:nsid w:val="00000013"/>
    <w:multiLevelType w:val="multilevel"/>
    <w:tmpl w:val="00000013"/>
    <w:lvl w:ilvl="0" w:tentative="0">
      <w:start w:val="1"/>
      <w:numFmt w:val="decimal"/>
      <w:lvlText w:val="%1."/>
      <w:lvlJc w:val="left"/>
      <w:pPr>
        <w:tabs>
          <w:tab w:val="left" w:pos="840"/>
        </w:tabs>
        <w:ind w:left="84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32186550"/>
    <w:multiLevelType w:val="singleLevel"/>
    <w:tmpl w:val="32186550"/>
    <w:lvl w:ilvl="0" w:tentative="0">
      <w:start w:val="4"/>
      <w:numFmt w:val="decimal"/>
      <w:suff w:val="nothing"/>
      <w:lvlText w:val="%1、"/>
      <w:lvlJc w:val="left"/>
    </w:lvl>
  </w:abstractNum>
  <w:abstractNum w:abstractNumId="3">
    <w:nsid w:val="3FB4146F"/>
    <w:multiLevelType w:val="multilevel"/>
    <w:tmpl w:val="3FB4146F"/>
    <w:lvl w:ilvl="0" w:tentative="0">
      <w:start w:val="1"/>
      <w:numFmt w:val="chineseCountingThousand"/>
      <w:lvlText w:val="%1、"/>
      <w:lvlJc w:val="left"/>
      <w:pPr>
        <w:ind w:left="425" w:hanging="425"/>
      </w:pPr>
      <w:rPr>
        <w:rFonts w:hint="eastAsia"/>
        <w:sz w:val="24"/>
        <w:szCs w:val="24"/>
        <w:lang w:val="en-US"/>
      </w:rPr>
    </w:lvl>
    <w:lvl w:ilvl="1" w:tentative="0">
      <w:start w:val="1"/>
      <w:numFmt w:val="chineseCountingThousand"/>
      <w:lvlText w:val="（%2）"/>
      <w:lvlJc w:val="left"/>
      <w:pPr>
        <w:ind w:left="992" w:hanging="567"/>
      </w:pPr>
      <w:rPr>
        <w:rFonts w:hint="eastAsia" w:ascii="仿宋_GB2312" w:hAnsi="宋体" w:eastAsia="仿宋_GB2312"/>
        <w:b/>
        <w:color w:val="auto"/>
        <w:sz w:val="24"/>
        <w:szCs w:val="24"/>
      </w:rPr>
    </w:lvl>
    <w:lvl w:ilvl="2" w:tentative="0">
      <w:start w:val="1"/>
      <w:numFmt w:val="decimal"/>
      <w:suff w:val="nothing"/>
      <w:lvlText w:val="%3."/>
      <w:lvlJc w:val="left"/>
      <w:pPr>
        <w:ind w:left="846" w:hanging="420"/>
      </w:pPr>
      <w:rPr>
        <w:rFonts w:hint="eastAsia" w:eastAsia="宋体"/>
        <w:color w:val="auto"/>
        <w:sz w:val="24"/>
        <w:szCs w:val="24"/>
        <w:lang w:val="en-US"/>
      </w:rPr>
    </w:lvl>
    <w:lvl w:ilvl="3" w:tentative="0">
      <w:start w:val="1"/>
      <w:numFmt w:val="decimal"/>
      <w:lvlText w:val="(%4)"/>
      <w:lvlJc w:val="left"/>
      <w:pPr>
        <w:ind w:left="1984" w:hanging="708"/>
      </w:pPr>
      <w:rPr>
        <w:rFonts w:hint="eastAsia" w:ascii="仿宋_GB2312" w:eastAsia="仿宋_GB2312"/>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E3Mzk3Y2M2YzIxODI4MWRlZmUwMDgyYjRiMjgzOGIifQ=="/>
  </w:docVars>
  <w:rsids>
    <w:rsidRoot w:val="001F2564"/>
    <w:rsid w:val="001F2564"/>
    <w:rsid w:val="00440B46"/>
    <w:rsid w:val="004F269B"/>
    <w:rsid w:val="00653401"/>
    <w:rsid w:val="006641DF"/>
    <w:rsid w:val="00745C43"/>
    <w:rsid w:val="014362DB"/>
    <w:rsid w:val="025131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link w:val="20"/>
    <w:qFormat/>
    <w:uiPriority w:val="9"/>
    <w:pPr>
      <w:keepNext/>
      <w:keepLines/>
      <w:spacing w:before="260" w:after="260" w:line="416" w:lineRule="auto"/>
      <w:outlineLvl w:val="1"/>
    </w:pPr>
    <w:rPr>
      <w:rFonts w:ascii="等线 Light" w:hAnsi="等线 Light" w:eastAsia="等线 Light" w:cs="Times New Roman"/>
      <w:b/>
      <w:bCs/>
      <w:sz w:val="32"/>
      <w:szCs w:val="32"/>
    </w:rPr>
  </w:style>
  <w:style w:type="paragraph" w:styleId="4">
    <w:name w:val="heading 3"/>
    <w:basedOn w:val="1"/>
    <w:next w:val="1"/>
    <w:link w:val="21"/>
    <w:qFormat/>
    <w:uiPriority w:val="9"/>
    <w:pPr>
      <w:keepNext/>
      <w:keepLines/>
      <w:spacing w:before="260" w:after="260" w:line="416" w:lineRule="auto"/>
      <w:outlineLvl w:val="2"/>
    </w:pPr>
    <w:rPr>
      <w:rFonts w:ascii="等线" w:hAnsi="等线" w:eastAsia="等线" w:cs="Times New Roman"/>
      <w:b/>
      <w:bCs/>
      <w:sz w:val="32"/>
      <w:szCs w:val="32"/>
    </w:rPr>
  </w:style>
  <w:style w:type="character" w:default="1" w:styleId="15">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26"/>
    <w:qFormat/>
    <w:uiPriority w:val="0"/>
    <w:pPr>
      <w:widowControl/>
      <w:ind w:firstLine="420"/>
      <w:jc w:val="left"/>
    </w:pPr>
    <w:rPr>
      <w:rFonts w:ascii="Calibri" w:hAnsi="Calibri" w:cs="Times New Roman"/>
      <w:kern w:val="0"/>
      <w:sz w:val="20"/>
      <w:szCs w:val="20"/>
    </w:rPr>
  </w:style>
  <w:style w:type="paragraph" w:styleId="6">
    <w:name w:val="annotation text"/>
    <w:basedOn w:val="1"/>
    <w:link w:val="24"/>
    <w:qFormat/>
    <w:uiPriority w:val="99"/>
    <w:pPr>
      <w:jc w:val="left"/>
    </w:pPr>
    <w:rPr>
      <w:rFonts w:eastAsia="等线"/>
      <w:szCs w:val="21"/>
    </w:rPr>
  </w:style>
  <w:style w:type="paragraph" w:styleId="7">
    <w:name w:val="Plain Text"/>
    <w:basedOn w:val="1"/>
    <w:link w:val="36"/>
    <w:qFormat/>
    <w:uiPriority w:val="0"/>
    <w:rPr>
      <w:rFonts w:ascii="宋体" w:hAnsi="Courier New"/>
      <w:spacing w:val="8"/>
      <w:sz w:val="24"/>
      <w:szCs w:val="24"/>
    </w:rPr>
  </w:style>
  <w:style w:type="paragraph" w:styleId="8">
    <w:name w:val="footer"/>
    <w:basedOn w:val="1"/>
    <w:link w:val="25"/>
    <w:unhideWhenUsed/>
    <w:qFormat/>
    <w:uiPriority w:val="99"/>
    <w:pPr>
      <w:tabs>
        <w:tab w:val="center" w:pos="4153"/>
        <w:tab w:val="right" w:pos="8306"/>
      </w:tabs>
      <w:snapToGrid w:val="0"/>
      <w:jc w:val="left"/>
    </w:pPr>
    <w:rPr>
      <w:rFonts w:eastAsia="等线"/>
      <w:sz w:val="18"/>
      <w:szCs w:val="18"/>
    </w:rPr>
  </w:style>
  <w:style w:type="paragraph" w:styleId="9">
    <w:name w:val="header"/>
    <w:basedOn w:val="1"/>
    <w:link w:val="27"/>
    <w:unhideWhenUsed/>
    <w:qFormat/>
    <w:uiPriority w:val="99"/>
    <w:pPr>
      <w:pBdr>
        <w:bottom w:val="single" w:color="auto" w:sz="6" w:space="1"/>
      </w:pBdr>
      <w:tabs>
        <w:tab w:val="center" w:pos="4153"/>
        <w:tab w:val="right" w:pos="8306"/>
      </w:tabs>
      <w:snapToGrid w:val="0"/>
      <w:jc w:val="center"/>
    </w:pPr>
    <w:rPr>
      <w:rFonts w:eastAsia="等线"/>
      <w:sz w:val="18"/>
      <w:szCs w:val="18"/>
    </w:rPr>
  </w:style>
  <w:style w:type="paragraph" w:styleId="10">
    <w:name w:val="Subtitle"/>
    <w:basedOn w:val="1"/>
    <w:next w:val="1"/>
    <w:link w:val="28"/>
    <w:qFormat/>
    <w:uiPriority w:val="11"/>
    <w:pPr>
      <w:spacing w:before="240" w:after="60" w:line="312" w:lineRule="auto"/>
      <w:jc w:val="center"/>
      <w:outlineLvl w:val="1"/>
    </w:pPr>
    <w:rPr>
      <w:rFonts w:eastAsia="等线"/>
      <w:b/>
      <w:bCs/>
      <w:kern w:val="28"/>
      <w:sz w:val="32"/>
      <w:szCs w:val="32"/>
    </w:rPr>
  </w:style>
  <w:style w:type="paragraph" w:styleId="11">
    <w:name w:val="Normal (Web)"/>
    <w:basedOn w:val="1"/>
    <w:unhideWhenUsed/>
    <w:qFormat/>
    <w:uiPriority w:val="99"/>
    <w:pPr>
      <w:widowControl/>
      <w:spacing w:line="360" w:lineRule="auto"/>
      <w:jc w:val="left"/>
    </w:pPr>
    <w:rPr>
      <w:rFonts w:ascii="宋体" w:hAnsi="宋体" w:eastAsia="宋体" w:cs="宋体"/>
      <w:kern w:val="0"/>
      <w:sz w:val="24"/>
      <w:szCs w:val="24"/>
    </w:rPr>
  </w:style>
  <w:style w:type="paragraph" w:styleId="12">
    <w:name w:val="Title"/>
    <w:basedOn w:val="1"/>
    <w:next w:val="1"/>
    <w:link w:val="23"/>
    <w:qFormat/>
    <w:uiPriority w:val="10"/>
    <w:pPr>
      <w:spacing w:before="240" w:after="60"/>
      <w:jc w:val="center"/>
      <w:outlineLvl w:val="0"/>
    </w:pPr>
    <w:rPr>
      <w:rFonts w:ascii="等线 Light" w:hAnsi="等线 Light" w:eastAsia="等线 Light" w:cs="Times New Roman"/>
      <w:b/>
      <w:bCs/>
      <w:sz w:val="32"/>
      <w:szCs w:val="32"/>
    </w:rPr>
  </w:style>
  <w:style w:type="table" w:styleId="14">
    <w:name w:val="Table Grid"/>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qFormat/>
    <w:uiPriority w:val="22"/>
    <w:rPr>
      <w:b/>
      <w:bCs/>
    </w:rPr>
  </w:style>
  <w:style w:type="character" w:styleId="17">
    <w:name w:val="page number"/>
    <w:basedOn w:val="15"/>
    <w:unhideWhenUsed/>
    <w:qFormat/>
    <w:uiPriority w:val="99"/>
  </w:style>
  <w:style w:type="character" w:styleId="18">
    <w:name w:val="Hyperlink"/>
    <w:qFormat/>
    <w:uiPriority w:val="99"/>
    <w:rPr>
      <w:color w:val="0000FF"/>
      <w:u w:val="single"/>
    </w:rPr>
  </w:style>
  <w:style w:type="character" w:customStyle="1" w:styleId="19">
    <w:name w:val="标题 1 字符"/>
    <w:basedOn w:val="15"/>
    <w:link w:val="2"/>
    <w:qFormat/>
    <w:uiPriority w:val="9"/>
    <w:rPr>
      <w:rFonts w:ascii="宋体" w:hAnsi="宋体" w:eastAsia="宋体" w:cs="宋体"/>
      <w:b/>
      <w:bCs/>
      <w:kern w:val="36"/>
      <w:sz w:val="48"/>
      <w:szCs w:val="48"/>
    </w:rPr>
  </w:style>
  <w:style w:type="character" w:customStyle="1" w:styleId="20">
    <w:name w:val="标题 2 字符"/>
    <w:basedOn w:val="15"/>
    <w:link w:val="3"/>
    <w:qFormat/>
    <w:uiPriority w:val="9"/>
    <w:rPr>
      <w:rFonts w:ascii="等线 Light" w:hAnsi="等线 Light" w:eastAsia="等线 Light" w:cs="Times New Roman"/>
      <w:b/>
      <w:bCs/>
      <w:sz w:val="32"/>
      <w:szCs w:val="32"/>
    </w:rPr>
  </w:style>
  <w:style w:type="character" w:customStyle="1" w:styleId="21">
    <w:name w:val="标题 3 字符"/>
    <w:basedOn w:val="15"/>
    <w:link w:val="4"/>
    <w:qFormat/>
    <w:uiPriority w:val="9"/>
    <w:rPr>
      <w:rFonts w:ascii="等线" w:hAnsi="等线" w:eastAsia="等线" w:cs="Times New Roman"/>
      <w:b/>
      <w:bCs/>
      <w:sz w:val="32"/>
      <w:szCs w:val="32"/>
    </w:rPr>
  </w:style>
  <w:style w:type="character" w:customStyle="1" w:styleId="22">
    <w:name w:val="p141"/>
    <w:qFormat/>
    <w:uiPriority w:val="0"/>
    <w:rPr>
      <w:sz w:val="21"/>
      <w:szCs w:val="21"/>
    </w:rPr>
  </w:style>
  <w:style w:type="character" w:customStyle="1" w:styleId="23">
    <w:name w:val="标题 字符"/>
    <w:link w:val="12"/>
    <w:qFormat/>
    <w:uiPriority w:val="10"/>
    <w:rPr>
      <w:rFonts w:ascii="等线 Light" w:hAnsi="等线 Light" w:eastAsia="等线 Light" w:cs="Times New Roman"/>
      <w:b/>
      <w:bCs/>
      <w:sz w:val="32"/>
      <w:szCs w:val="32"/>
    </w:rPr>
  </w:style>
  <w:style w:type="character" w:customStyle="1" w:styleId="24">
    <w:name w:val="批注文字 字符"/>
    <w:link w:val="6"/>
    <w:qFormat/>
    <w:uiPriority w:val="99"/>
    <w:rPr>
      <w:rFonts w:eastAsia="等线"/>
      <w:szCs w:val="21"/>
    </w:rPr>
  </w:style>
  <w:style w:type="character" w:customStyle="1" w:styleId="25">
    <w:name w:val="页脚 字符"/>
    <w:link w:val="8"/>
    <w:qFormat/>
    <w:uiPriority w:val="99"/>
    <w:rPr>
      <w:rFonts w:eastAsia="等线"/>
      <w:sz w:val="18"/>
      <w:szCs w:val="18"/>
    </w:rPr>
  </w:style>
  <w:style w:type="character" w:customStyle="1" w:styleId="26">
    <w:name w:val="正文缩进 字符"/>
    <w:link w:val="5"/>
    <w:qFormat/>
    <w:uiPriority w:val="0"/>
    <w:rPr>
      <w:rFonts w:ascii="Calibri" w:hAnsi="Calibri" w:cs="Times New Roman"/>
      <w:kern w:val="0"/>
      <w:sz w:val="20"/>
      <w:szCs w:val="20"/>
    </w:rPr>
  </w:style>
  <w:style w:type="character" w:customStyle="1" w:styleId="27">
    <w:name w:val="页眉 字符"/>
    <w:link w:val="9"/>
    <w:qFormat/>
    <w:uiPriority w:val="99"/>
    <w:rPr>
      <w:rFonts w:eastAsia="等线"/>
      <w:sz w:val="18"/>
      <w:szCs w:val="18"/>
    </w:rPr>
  </w:style>
  <w:style w:type="character" w:customStyle="1" w:styleId="28">
    <w:name w:val="副标题 字符"/>
    <w:link w:val="10"/>
    <w:qFormat/>
    <w:uiPriority w:val="11"/>
    <w:rPr>
      <w:rFonts w:eastAsia="等线"/>
      <w:b/>
      <w:bCs/>
      <w:kern w:val="28"/>
      <w:sz w:val="32"/>
      <w:szCs w:val="32"/>
    </w:rPr>
  </w:style>
  <w:style w:type="character" w:customStyle="1" w:styleId="29">
    <w:name w:val="批注文字 字符1"/>
    <w:basedOn w:val="15"/>
    <w:semiHidden/>
    <w:qFormat/>
    <w:uiPriority w:val="99"/>
  </w:style>
  <w:style w:type="character" w:customStyle="1" w:styleId="30">
    <w:name w:val="页脚 字符1"/>
    <w:basedOn w:val="15"/>
    <w:semiHidden/>
    <w:qFormat/>
    <w:uiPriority w:val="99"/>
    <w:rPr>
      <w:sz w:val="18"/>
      <w:szCs w:val="18"/>
    </w:rPr>
  </w:style>
  <w:style w:type="paragraph" w:customStyle="1" w:styleId="31">
    <w:name w:val="列出段落1"/>
    <w:basedOn w:val="1"/>
    <w:qFormat/>
    <w:uiPriority w:val="99"/>
    <w:pPr>
      <w:ind w:firstLine="420" w:firstLineChars="200"/>
    </w:pPr>
    <w:rPr>
      <w:rFonts w:ascii="等线" w:hAnsi="等线" w:eastAsia="等线" w:cs="Times New Roman"/>
    </w:rPr>
  </w:style>
  <w:style w:type="character" w:customStyle="1" w:styleId="32">
    <w:name w:val="标题 字符1"/>
    <w:basedOn w:val="15"/>
    <w:qFormat/>
    <w:uiPriority w:val="10"/>
    <w:rPr>
      <w:rFonts w:asciiTheme="majorHAnsi" w:hAnsiTheme="majorHAnsi" w:eastAsiaTheme="majorEastAsia" w:cstheme="majorBidi"/>
      <w:b/>
      <w:bCs/>
      <w:sz w:val="32"/>
      <w:szCs w:val="32"/>
    </w:rPr>
  </w:style>
  <w:style w:type="character" w:customStyle="1" w:styleId="33">
    <w:name w:val="副标题 字符1"/>
    <w:basedOn w:val="15"/>
    <w:qFormat/>
    <w:uiPriority w:val="11"/>
    <w:rPr>
      <w:b/>
      <w:bCs/>
      <w:kern w:val="28"/>
      <w:sz w:val="32"/>
      <w:szCs w:val="32"/>
    </w:rPr>
  </w:style>
  <w:style w:type="character" w:customStyle="1" w:styleId="34">
    <w:name w:val="页眉 字符1"/>
    <w:basedOn w:val="15"/>
    <w:semiHidden/>
    <w:qFormat/>
    <w:uiPriority w:val="99"/>
    <w:rPr>
      <w:sz w:val="18"/>
      <w:szCs w:val="18"/>
    </w:rPr>
  </w:style>
  <w:style w:type="paragraph" w:customStyle="1" w:styleId="35">
    <w:name w:val="p-title"/>
    <w:basedOn w:val="1"/>
    <w:qFormat/>
    <w:uiPriority w:val="0"/>
    <w:pPr>
      <w:widowControl/>
      <w:spacing w:before="100" w:beforeAutospacing="1" w:after="100" w:afterAutospacing="1"/>
      <w:jc w:val="center"/>
    </w:pPr>
    <w:rPr>
      <w:rFonts w:ascii="宋体" w:hAnsi="宋体" w:eastAsia="宋体" w:cs="宋体"/>
      <w:kern w:val="0"/>
      <w:sz w:val="24"/>
      <w:szCs w:val="24"/>
    </w:rPr>
  </w:style>
  <w:style w:type="character" w:customStyle="1" w:styleId="36">
    <w:name w:val="纯文本 字符"/>
    <w:link w:val="7"/>
    <w:qFormat/>
    <w:uiPriority w:val="0"/>
    <w:rPr>
      <w:rFonts w:ascii="宋体" w:hAnsi="Courier New"/>
      <w:spacing w:val="8"/>
      <w:sz w:val="24"/>
      <w:szCs w:val="24"/>
    </w:rPr>
  </w:style>
  <w:style w:type="character" w:customStyle="1" w:styleId="37">
    <w:name w:val="纯文本 字符1"/>
    <w:basedOn w:val="15"/>
    <w:semiHidden/>
    <w:qFormat/>
    <w:uiPriority w:val="99"/>
    <w:rPr>
      <w:rFonts w:hAnsi="Courier New" w:cs="Courier New" w:asciiTheme="minorEastAsia"/>
    </w:rPr>
  </w:style>
  <w:style w:type="paragraph" w:customStyle="1" w:styleId="38">
    <w:name w:val="正文_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正文_4"/>
    <w:qFormat/>
    <w:uiPriority w:val="0"/>
    <w:rPr>
      <w:rFonts w:ascii="Times New Roman" w:hAnsi="Times New Roman" w:eastAsia="宋体" w:cs="Times New Roman"/>
      <w:kern w:val="0"/>
      <w:sz w:val="21"/>
      <w:szCs w:val="20"/>
      <w:lang w:val="en-US" w:eastAsia="zh-CN" w:bidi="ar-SA"/>
    </w:rPr>
  </w:style>
  <w:style w:type="paragraph" w:customStyle="1" w:styleId="40">
    <w:name w:val="正文_7"/>
    <w:qFormat/>
    <w:uiPriority w:val="0"/>
    <w:rPr>
      <w:rFonts w:ascii="Times New Roman" w:hAnsi="Times New Roman" w:eastAsia="宋体" w:cs="Times New Roman"/>
      <w:kern w:val="0"/>
      <w:sz w:val="21"/>
      <w:szCs w:val="20"/>
      <w:lang w:val="en-US" w:eastAsia="zh-CN" w:bidi="ar-SA"/>
    </w:rPr>
  </w:style>
  <w:style w:type="paragraph" w:customStyle="1" w:styleId="41">
    <w:name w:val="正文_9"/>
    <w:qFormat/>
    <w:uiPriority w:val="0"/>
    <w:rPr>
      <w:rFonts w:ascii="Times New Roman" w:hAnsi="Times New Roman" w:eastAsia="宋体" w:cs="Times New Roman"/>
      <w:kern w:val="0"/>
      <w:sz w:val="21"/>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57</Pages>
  <Words>22993</Words>
  <Characters>24059</Characters>
  <Lines>224</Lines>
  <Paragraphs>63</Paragraphs>
  <TotalTime>2</TotalTime>
  <ScaleCrop>false</ScaleCrop>
  <LinksUpToDate>false</LinksUpToDate>
  <CharactersWithSpaces>24402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2023-07-03T06:23:00Z</dcterms:created>
  <dc:creator>Windows 用户</dc:creator>
  <cp:lastModifiedBy>.</cp:lastModifiedBy>
  <dcterms:modified xsi:type="dcterms:W3CDTF">2025-04-23T01:49:44Z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D621B2DFA95142BB88B05D8655C3652F_13</vt:lpwstr>
  </property>
  <property fmtid="{D5CDD505-2E9C-101B-9397-08002B2CF9AE}" pid="4" name="KSOTemplateDocerSaveRecord">
    <vt:lpwstr>eyJoZGlkIjoiNmE3Mzk3Y2M2YzIxODI4MWRlZmUwMDgyYjRiMjgzOGIiLCJ1c2VySWQiOiI5NDUxNzkxMDAifQ==</vt:lpwstr>
  </property>
</Properties>
</file>