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C769CF">
      <w:pPr>
        <w:pStyle w:val="4"/>
        <w:ind w:firstLine="480"/>
        <w:jc w:val="center"/>
        <w:outlineLvl w:val="1"/>
      </w:pPr>
      <w:r>
        <w:rPr>
          <w:b/>
          <w:sz w:val="36"/>
        </w:rPr>
        <w:t>第五章 合同文本</w:t>
      </w:r>
    </w:p>
    <w:p w14:paraId="5BBF74D0">
      <w:pPr>
        <w:pStyle w:val="4"/>
      </w:pPr>
    </w:p>
    <w:p w14:paraId="52FBE82D">
      <w:pPr>
        <w:jc w:val="center"/>
        <w:outlineLvl w:val="2"/>
      </w:pPr>
      <w:r>
        <w:rPr>
          <w:rFonts w:hint="eastAsia"/>
          <w:b/>
          <w:sz w:val="32"/>
          <w:lang w:eastAsia="zh-CN"/>
        </w:rPr>
        <w:t>广州市干部健康管理中心运行保障服务</w:t>
      </w:r>
      <w:r>
        <w:rPr>
          <w:b/>
          <w:sz w:val="32"/>
        </w:rPr>
        <w:t>合同</w:t>
      </w:r>
    </w:p>
    <w:p w14:paraId="27E36F54">
      <w:pPr>
        <w:jc w:val="center"/>
        <w:outlineLvl w:val="2"/>
        <w:rPr>
          <w:rFonts w:hint="default" w:eastAsiaTheme="minorEastAsia"/>
          <w:sz w:val="32"/>
          <w:lang w:val="en-US" w:eastAsia="zh-CN"/>
        </w:rPr>
      </w:pPr>
      <w:r>
        <w:rPr>
          <w:rFonts w:hint="eastAsia"/>
          <w:sz w:val="32"/>
          <w:lang w:val="en-US" w:eastAsia="zh-CN"/>
        </w:rPr>
        <w:t>本合同为中小企业专门预留</w:t>
      </w:r>
    </w:p>
    <w:p w14:paraId="1385EC64">
      <w:pPr>
        <w:jc w:val="center"/>
        <w:outlineLvl w:val="2"/>
      </w:pPr>
      <w:r>
        <w:rPr>
          <w:sz w:val="32"/>
        </w:rPr>
        <w:t>（项目编号：）</w:t>
      </w:r>
    </w:p>
    <w:p w14:paraId="15F6C3BD">
      <w:pPr>
        <w:jc w:val="center"/>
        <w:outlineLvl w:val="2"/>
      </w:pPr>
      <w:r>
        <w:rPr>
          <w:b/>
          <w:sz w:val="24"/>
        </w:rPr>
        <w:t>一、总</w:t>
      </w:r>
      <w:r>
        <w:rPr>
          <w:b/>
          <w:sz w:val="21"/>
        </w:rPr>
        <w:t xml:space="preserve"> </w:t>
      </w:r>
      <w:r>
        <w:rPr>
          <w:b/>
          <w:sz w:val="24"/>
        </w:rPr>
        <w:t>则</w:t>
      </w:r>
    </w:p>
    <w:p w14:paraId="305CD74A">
      <w:pPr>
        <w:jc w:val="both"/>
      </w:pPr>
      <w:r>
        <w:rPr>
          <w:b/>
          <w:sz w:val="24"/>
        </w:rPr>
        <w:t>第一条</w:t>
      </w:r>
      <w:r>
        <w:rPr>
          <w:sz w:val="24"/>
        </w:rPr>
        <w:t>合同当事人</w:t>
      </w:r>
    </w:p>
    <w:p w14:paraId="13B21D62">
      <w:pPr>
        <w:jc w:val="both"/>
        <w:rPr>
          <w:rFonts w:hint="eastAsia" w:eastAsiaTheme="minorEastAsia"/>
          <w:lang w:eastAsia="zh-CN"/>
        </w:rPr>
      </w:pPr>
      <w:r>
        <w:rPr>
          <w:sz w:val="24"/>
        </w:rPr>
        <w:t>甲方（采购人）：</w:t>
      </w:r>
      <w:r>
        <w:rPr>
          <w:rFonts w:hint="eastAsia"/>
          <w:sz w:val="24"/>
          <w:lang w:eastAsia="zh-CN"/>
        </w:rPr>
        <w:t>广州市干部和人才健康管理中心</w:t>
      </w:r>
    </w:p>
    <w:p w14:paraId="2990E4E3">
      <w:pPr>
        <w:jc w:val="both"/>
      </w:pPr>
      <w:r>
        <w:rPr>
          <w:sz w:val="24"/>
        </w:rPr>
        <w:t>乙方（中标人）：</w:t>
      </w:r>
    </w:p>
    <w:p w14:paraId="6A328D2F">
      <w:pPr>
        <w:ind w:firstLine="480"/>
        <w:jc w:val="both"/>
      </w:pPr>
      <w:r>
        <w:rPr>
          <w:sz w:val="24"/>
        </w:rPr>
        <w:t>根据《中华人民共和国民法典》、《中华人民共和国政府采购法》、物业服务行业的相关规定及广州市政府采购中心“</w:t>
      </w:r>
      <w:r>
        <w:rPr>
          <w:rFonts w:hint="eastAsia"/>
          <w:sz w:val="24"/>
          <w:lang w:eastAsia="zh-CN"/>
        </w:rPr>
        <w:t>广州市干部健康管理中心运行保障服务项目</w:t>
      </w:r>
      <w:r>
        <w:rPr>
          <w:sz w:val="24"/>
        </w:rPr>
        <w:t>”（采购项目编号：）公开招标文件的要求和招标结果，在平等、自愿、协商一致的基础上，签订本合同。双方共同遵守如下条款（其他有关合同项目的特定信息由合同附件予以说明，合同附件及本项目的招标文件、投标文件、中标通知书、在实施过程中双方共同签署的补充文件等均为本合同不可分割之一部分）。</w:t>
      </w:r>
    </w:p>
    <w:p w14:paraId="6643DF68">
      <w:pPr>
        <w:jc w:val="both"/>
      </w:pPr>
      <w:r>
        <w:rPr>
          <w:b/>
          <w:sz w:val="24"/>
        </w:rPr>
        <w:t>第二条</w:t>
      </w:r>
      <w:r>
        <w:rPr>
          <w:sz w:val="24"/>
        </w:rPr>
        <w:t>乙方服务地点以本项目招标文件“采购需求”中规定地点为准；乙方提供服务的受益人为甲方和本合同所涉物业的使用人，甲乙双方均应对履行本合同承担相应的责任。</w:t>
      </w:r>
    </w:p>
    <w:p w14:paraId="15D1C897">
      <w:pPr>
        <w:jc w:val="center"/>
        <w:outlineLvl w:val="2"/>
      </w:pPr>
      <w:r>
        <w:rPr>
          <w:b/>
          <w:sz w:val="24"/>
        </w:rPr>
        <w:t>二、服务事项</w:t>
      </w:r>
    </w:p>
    <w:p w14:paraId="1ED27CCE">
      <w:pPr>
        <w:jc w:val="both"/>
      </w:pPr>
      <w:r>
        <w:rPr>
          <w:b/>
          <w:sz w:val="24"/>
        </w:rPr>
        <w:t>第三条</w:t>
      </w:r>
      <w:r>
        <w:rPr>
          <w:sz w:val="24"/>
        </w:rPr>
        <w:t>为甲方提供安保、保洁服务，具体委托管理事项以本项目招标文件“采购需求”中规定内容为准。</w:t>
      </w:r>
    </w:p>
    <w:p w14:paraId="21729238">
      <w:pPr>
        <w:jc w:val="center"/>
        <w:outlineLvl w:val="2"/>
      </w:pPr>
      <w:r>
        <w:rPr>
          <w:b/>
          <w:sz w:val="24"/>
        </w:rPr>
        <w:t>三、服务期限</w:t>
      </w:r>
    </w:p>
    <w:p w14:paraId="5E2A6FBB">
      <w:pPr>
        <w:jc w:val="both"/>
      </w:pPr>
      <w:r>
        <w:rPr>
          <w:b/>
          <w:sz w:val="24"/>
        </w:rPr>
        <w:t>第四条</w:t>
      </w:r>
      <w:r>
        <w:rPr>
          <w:sz w:val="24"/>
        </w:rPr>
        <w:t>服务期限：一年，自202</w:t>
      </w:r>
      <w:r>
        <w:rPr>
          <w:rFonts w:hint="eastAsia"/>
          <w:sz w:val="24"/>
          <w:lang w:val="en-US" w:eastAsia="zh-CN"/>
        </w:rPr>
        <w:t>4</w:t>
      </w: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日起至20</w:t>
      </w:r>
      <w:r>
        <w:rPr>
          <w:sz w:val="24"/>
          <w:u w:val="single"/>
        </w:rPr>
        <w:t>2</w:t>
      </w:r>
      <w:r>
        <w:rPr>
          <w:rFonts w:hint="eastAsia"/>
          <w:sz w:val="24"/>
          <w:u w:val="single"/>
          <w:lang w:val="en-US" w:eastAsia="zh-CN"/>
        </w:rPr>
        <w:t>5</w:t>
      </w:r>
      <w:r>
        <w:rPr>
          <w:sz w:val="24"/>
        </w:rPr>
        <w:t>年</w:t>
      </w:r>
      <w:r>
        <w:rPr>
          <w:rFonts w:hint="eastAsia"/>
          <w:sz w:val="24"/>
          <w:lang w:val="en-US" w:eastAsia="zh-CN"/>
        </w:rPr>
        <w:t xml:space="preserve">  </w:t>
      </w:r>
      <w:r>
        <w:rPr>
          <w:sz w:val="24"/>
        </w:rPr>
        <w:t>月</w:t>
      </w:r>
      <w:r>
        <w:rPr>
          <w:rFonts w:hint="eastAsia"/>
          <w:sz w:val="24"/>
          <w:lang w:val="en-US" w:eastAsia="zh-CN"/>
        </w:rPr>
        <w:t xml:space="preserve">  </w:t>
      </w:r>
      <w:r>
        <w:rPr>
          <w:sz w:val="24"/>
        </w:rPr>
        <w:t>日止。</w:t>
      </w:r>
    </w:p>
    <w:p w14:paraId="005822A2">
      <w:pPr>
        <w:jc w:val="center"/>
        <w:outlineLvl w:val="2"/>
      </w:pPr>
      <w:r>
        <w:rPr>
          <w:b/>
          <w:sz w:val="24"/>
        </w:rPr>
        <w:t>四、双方权利义务</w:t>
      </w:r>
    </w:p>
    <w:p w14:paraId="05C4DA24">
      <w:pPr>
        <w:jc w:val="both"/>
      </w:pPr>
      <w:r>
        <w:rPr>
          <w:b/>
          <w:sz w:val="24"/>
        </w:rPr>
        <w:t>第五条</w:t>
      </w:r>
      <w:r>
        <w:rPr>
          <w:sz w:val="24"/>
        </w:rPr>
        <w:t>甲方权利义务</w:t>
      </w:r>
    </w:p>
    <w:p w14:paraId="0D2C997B">
      <w:pPr>
        <w:jc w:val="both"/>
      </w:pPr>
      <w:r>
        <w:rPr>
          <w:sz w:val="24"/>
        </w:rPr>
        <w:t>一、安保</w:t>
      </w:r>
    </w:p>
    <w:p w14:paraId="4C732BB1">
      <w:pPr>
        <w:ind w:firstLine="480"/>
        <w:jc w:val="left"/>
      </w:pPr>
      <w:r>
        <w:rPr>
          <w:sz w:val="24"/>
        </w:rPr>
        <w:t>（一）审定乙方拟定的安保服务管理制度及实施方案，有权提出意见和建议并要求乙方在指定期限内进行修改调整并再次提交甲方审定。</w:t>
      </w:r>
    </w:p>
    <w:p w14:paraId="4595A5D4">
      <w:pPr>
        <w:ind w:firstLine="480"/>
        <w:jc w:val="left"/>
      </w:pPr>
      <w:r>
        <w:rPr>
          <w:sz w:val="24"/>
        </w:rPr>
        <w:t>（二）检查监督乙方安保服务管理工作的实施及制度的执行情况。</w:t>
      </w:r>
    </w:p>
    <w:p w14:paraId="50587961">
      <w:pPr>
        <w:ind w:firstLine="480"/>
        <w:jc w:val="left"/>
      </w:pPr>
      <w:r>
        <w:rPr>
          <w:sz w:val="24"/>
        </w:rPr>
        <w:t>（三）有权审核乙方提交的安保服务管理制度、财务预算及决算。</w:t>
      </w:r>
    </w:p>
    <w:p w14:paraId="39EF93E2">
      <w:pPr>
        <w:ind w:firstLine="480"/>
        <w:jc w:val="left"/>
      </w:pPr>
      <w:r>
        <w:rPr>
          <w:sz w:val="24"/>
        </w:rPr>
        <w:t>（四）由甲方按实际需要，要求乙方提供具有特殊专长的安保服务人员。</w:t>
      </w:r>
    </w:p>
    <w:p w14:paraId="73A2DC92">
      <w:pPr>
        <w:ind w:firstLine="480"/>
        <w:jc w:val="left"/>
      </w:pPr>
      <w:r>
        <w:rPr>
          <w:sz w:val="24"/>
        </w:rPr>
        <w:t>（五）如因安保服务人员的休请假、撤换造成派驻本项目</w:t>
      </w:r>
      <w:r>
        <w:rPr>
          <w:rFonts w:hint="eastAsia"/>
          <w:sz w:val="24"/>
          <w:lang w:val="en-US" w:eastAsia="zh-CN"/>
        </w:rPr>
        <w:t>原有</w:t>
      </w:r>
      <w:r>
        <w:rPr>
          <w:sz w:val="24"/>
        </w:rPr>
        <w:t>安保服务人员空缺的，乙方须</w:t>
      </w:r>
      <w:r>
        <w:rPr>
          <w:rFonts w:hint="eastAsia"/>
          <w:sz w:val="24"/>
          <w:lang w:val="en-US" w:eastAsia="zh-CN"/>
        </w:rPr>
        <w:t>提前2天通知甲方，并</w:t>
      </w:r>
      <w:r>
        <w:rPr>
          <w:sz w:val="24"/>
        </w:rPr>
        <w:t>保证不影响保安岗位正常执勤工作</w:t>
      </w:r>
      <w:r>
        <w:rPr>
          <w:rFonts w:hint="eastAsia"/>
          <w:sz w:val="24"/>
          <w:lang w:eastAsia="zh-CN"/>
        </w:rPr>
        <w:t>，</w:t>
      </w:r>
      <w:r>
        <w:rPr>
          <w:rFonts w:hint="eastAsia"/>
          <w:sz w:val="24"/>
          <w:lang w:val="en-US" w:eastAsia="zh-CN"/>
        </w:rPr>
        <w:t>乙方需无缝衔接安排备用支援安保服务人员到岗工作，相关人员信息于到岗日签2天报备甲方</w:t>
      </w:r>
      <w:r>
        <w:rPr>
          <w:sz w:val="24"/>
        </w:rPr>
        <w:t>。</w:t>
      </w:r>
    </w:p>
    <w:p w14:paraId="658FF46F">
      <w:pPr>
        <w:ind w:firstLine="480"/>
        <w:jc w:val="left"/>
      </w:pPr>
      <w:r>
        <w:rPr>
          <w:sz w:val="24"/>
        </w:rPr>
        <w:t>（六）甲方有权不定期抽查乙方投入的人员数量，如果抽查时发现乙方在岗的人员数量少于合同约定的数量，甲方将按考核标准进行处罚。</w:t>
      </w:r>
    </w:p>
    <w:p w14:paraId="4EDED950">
      <w:pPr>
        <w:ind w:firstLine="480"/>
        <w:jc w:val="left"/>
      </w:pPr>
      <w:r>
        <w:rPr>
          <w:sz w:val="24"/>
        </w:rPr>
        <w:t>（七）有权监督乙方发放的工资是否不低于法定最低标准及是否符合人员需求所约定的薪资水平，是否按时支付国家规定必须购买的保险费用（养老、失业、医疗、生育、工伤）和住房公积金，同时有权要求乙方出示相关的文件与证明。</w:t>
      </w:r>
    </w:p>
    <w:p w14:paraId="02DBF4B7">
      <w:pPr>
        <w:ind w:firstLine="480"/>
        <w:jc w:val="left"/>
      </w:pPr>
      <w:r>
        <w:rPr>
          <w:sz w:val="24"/>
        </w:rPr>
        <w:t>（八）甲方有权根据考评或工作情况要求乙方在1个星期内对不符合服务要求或损害甲方利益管理人员、安保人员进行更换。</w:t>
      </w:r>
    </w:p>
    <w:p w14:paraId="66948317">
      <w:pPr>
        <w:ind w:firstLine="480"/>
        <w:jc w:val="left"/>
      </w:pPr>
      <w:r>
        <w:rPr>
          <w:sz w:val="24"/>
        </w:rPr>
        <w:t>（九）甲方对重要岗位、人员录取与管理及重要的管理决策有直接参与权和审批权。</w:t>
      </w:r>
    </w:p>
    <w:p w14:paraId="2523FA2E">
      <w:pPr>
        <w:ind w:firstLine="480"/>
        <w:jc w:val="left"/>
      </w:pPr>
      <w:r>
        <w:rPr>
          <w:sz w:val="24"/>
        </w:rPr>
        <w:t>（十）若提供物业服务的人员发生劳动争议或出现伤、病及意外死亡情况，由乙方负责处理相关争议事宜并承担全部责任。</w:t>
      </w:r>
    </w:p>
    <w:p w14:paraId="34235B33">
      <w:pPr>
        <w:ind w:firstLine="480"/>
        <w:jc w:val="left"/>
      </w:pPr>
      <w:r>
        <w:rPr>
          <w:sz w:val="24"/>
        </w:rPr>
        <w:t>（十一）按时向乙方支付安保服务费。每年度末甲方有权根据财政机关的要求调整结算进度及期限，且无需承担逾期支付费用的违约责任。</w:t>
      </w:r>
    </w:p>
    <w:p w14:paraId="61D2F05C">
      <w:pPr>
        <w:jc w:val="left"/>
      </w:pPr>
      <w:r>
        <w:rPr>
          <w:sz w:val="24"/>
        </w:rPr>
        <w:t>二、物业保洁</w:t>
      </w:r>
    </w:p>
    <w:p w14:paraId="3BC55D09">
      <w:pPr>
        <w:ind w:firstLine="420"/>
        <w:jc w:val="left"/>
      </w:pPr>
      <w:r>
        <w:rPr>
          <w:sz w:val="24"/>
        </w:rPr>
        <w:t>（一）审定乙方拟定的物业管理服务制度和管理服务年度计划，并提出合理化建议并要求乙方在指定期限内进行修改调整并再次提交甲方审定，督促乙方健全应有的制度规程、工作规范等。</w:t>
      </w:r>
    </w:p>
    <w:p w14:paraId="7E18DA4D">
      <w:pPr>
        <w:ind w:firstLine="420"/>
        <w:jc w:val="left"/>
      </w:pPr>
      <w:r>
        <w:rPr>
          <w:sz w:val="24"/>
        </w:rPr>
        <w:t>（二）检查监督乙方物业管理工作的实施及制度的执行情况。</w:t>
      </w:r>
    </w:p>
    <w:p w14:paraId="08802970">
      <w:pPr>
        <w:ind w:firstLine="420"/>
        <w:jc w:val="left"/>
      </w:pPr>
      <w:r>
        <w:rPr>
          <w:sz w:val="24"/>
        </w:rPr>
        <w:t>（三）必要时协助提供乙方开展物业管理工作所需图纸、档案、资料。</w:t>
      </w:r>
    </w:p>
    <w:p w14:paraId="41398964">
      <w:pPr>
        <w:ind w:firstLine="420"/>
        <w:jc w:val="left"/>
      </w:pPr>
      <w:r>
        <w:rPr>
          <w:sz w:val="24"/>
        </w:rPr>
        <w:t>（四）对乙方不称职的工作人员，甲方有权要求乙方限期更换。</w:t>
      </w:r>
    </w:p>
    <w:p w14:paraId="6B109760">
      <w:pPr>
        <w:ind w:firstLine="420"/>
        <w:jc w:val="left"/>
      </w:pPr>
      <w:r>
        <w:rPr>
          <w:sz w:val="24"/>
        </w:rPr>
        <w:t>（五）协助乙方做好物业管理服务工作。</w:t>
      </w:r>
    </w:p>
    <w:p w14:paraId="1964F042">
      <w:pPr>
        <w:ind w:firstLine="420"/>
        <w:jc w:val="left"/>
      </w:pPr>
      <w:r>
        <w:rPr>
          <w:sz w:val="24"/>
        </w:rPr>
        <w:t>（六）按时向乙方支付物业管理服务费。每年度末甲方有权根据财政机关的要求调整结算进度及期限，且无需承担逾期支付费用的违约责任。</w:t>
      </w:r>
    </w:p>
    <w:p w14:paraId="76133745">
      <w:pPr>
        <w:ind w:firstLine="420"/>
        <w:jc w:val="left"/>
      </w:pPr>
      <w:r>
        <w:rPr>
          <w:sz w:val="24"/>
        </w:rPr>
        <w:t>（七）每年度末甲方有权根据财政机关的要求调整结算进度及期限，且无需承担逾期支付费用的违约责任。</w:t>
      </w:r>
    </w:p>
    <w:p w14:paraId="3507ADF2">
      <w:pPr>
        <w:ind w:firstLine="420"/>
        <w:jc w:val="left"/>
      </w:pPr>
      <w:r>
        <w:rPr>
          <w:sz w:val="24"/>
        </w:rPr>
        <w:t>（八）甲方有权不定期抽查乙方投入的人员数量，如果抽查时发现乙方在岗的人员数量少于合同约定的数量，甲方将按考核标准进行处罚。</w:t>
      </w:r>
    </w:p>
    <w:p w14:paraId="7CAB951D">
      <w:pPr>
        <w:ind w:firstLine="420"/>
        <w:jc w:val="left"/>
      </w:pPr>
      <w:r>
        <w:rPr>
          <w:sz w:val="24"/>
        </w:rPr>
        <w:t>（九）有权监督乙方发放的工资是否不低于法定最低标准和是否符合人员需求约定的薪资水平，是否按时支付国家规定必须购买的保险费用（养老、失业、医疗、生育、工伤）和住房公积金，同时有权要求乙方出示相关的文件与证明。</w:t>
      </w:r>
    </w:p>
    <w:p w14:paraId="6561A3E3">
      <w:pPr>
        <w:ind w:firstLine="420"/>
        <w:jc w:val="left"/>
      </w:pPr>
      <w:r>
        <w:rPr>
          <w:sz w:val="24"/>
        </w:rPr>
        <w:t>（十）甲方有权根据考评或工作情况要求乙方在1个星期内对不符合服务要求或损害甲方利益的管理人员、保洁人员进行更换。</w:t>
      </w:r>
    </w:p>
    <w:p w14:paraId="1B0734A0">
      <w:pPr>
        <w:ind w:firstLine="420"/>
        <w:jc w:val="left"/>
      </w:pPr>
      <w:r>
        <w:rPr>
          <w:sz w:val="24"/>
        </w:rPr>
        <w:t>（十一）甲方对重要岗位、人员录取与管理及重要的管理决策有直接参与权和审批权。</w:t>
      </w:r>
    </w:p>
    <w:p w14:paraId="11AF1FDD">
      <w:pPr>
        <w:ind w:firstLine="420"/>
        <w:jc w:val="left"/>
      </w:pPr>
      <w:r>
        <w:rPr>
          <w:sz w:val="24"/>
        </w:rPr>
        <w:t>（十二）若提供物业服务的人员发生劳动争议或出现伤、病及意外死亡情况，由乙方负责处理相关争议事宜并承担全部责任。</w:t>
      </w:r>
    </w:p>
    <w:p w14:paraId="039CB804">
      <w:pPr>
        <w:ind w:firstLine="420"/>
        <w:jc w:val="left"/>
        <w:rPr>
          <w:rFonts w:hint="eastAsia"/>
          <w:sz w:val="24"/>
          <w:lang w:eastAsia="zh-CN"/>
        </w:rPr>
      </w:pPr>
      <w:r>
        <w:rPr>
          <w:sz w:val="24"/>
        </w:rPr>
        <w:t>（十三）</w:t>
      </w:r>
      <w:r>
        <w:rPr>
          <w:rFonts w:hint="eastAsia"/>
          <w:sz w:val="24"/>
        </w:rPr>
        <w:t>如因</w:t>
      </w:r>
      <w:r>
        <w:rPr>
          <w:rFonts w:hint="eastAsia"/>
          <w:sz w:val="24"/>
          <w:lang w:val="en-US" w:eastAsia="zh-CN"/>
        </w:rPr>
        <w:t>物业</w:t>
      </w:r>
      <w:r>
        <w:rPr>
          <w:rFonts w:hint="eastAsia"/>
          <w:sz w:val="24"/>
        </w:rPr>
        <w:t>服务人员的休请假、撤换造成派驻本项目原有</w:t>
      </w:r>
      <w:r>
        <w:rPr>
          <w:rFonts w:hint="eastAsia"/>
          <w:sz w:val="24"/>
          <w:lang w:val="en-US" w:eastAsia="zh-CN"/>
        </w:rPr>
        <w:t>物业</w:t>
      </w:r>
      <w:r>
        <w:rPr>
          <w:rFonts w:hint="eastAsia"/>
          <w:sz w:val="24"/>
        </w:rPr>
        <w:t>服务人员空缺的，乙方须提前2天通知甲方，并保证不影响</w:t>
      </w:r>
      <w:r>
        <w:rPr>
          <w:rFonts w:hint="eastAsia"/>
          <w:sz w:val="24"/>
          <w:lang w:val="en-US" w:eastAsia="zh-CN"/>
        </w:rPr>
        <w:t>物业</w:t>
      </w:r>
      <w:r>
        <w:rPr>
          <w:rFonts w:hint="eastAsia"/>
          <w:sz w:val="24"/>
        </w:rPr>
        <w:t>岗位正常工作，乙方需无缝衔接安排备用支援</w:t>
      </w:r>
      <w:r>
        <w:rPr>
          <w:rFonts w:hint="eastAsia"/>
          <w:sz w:val="24"/>
          <w:lang w:val="en-US" w:eastAsia="zh-CN"/>
        </w:rPr>
        <w:t>物业</w:t>
      </w:r>
      <w:r>
        <w:rPr>
          <w:rFonts w:hint="eastAsia"/>
          <w:sz w:val="24"/>
        </w:rPr>
        <w:t>服务人员到岗工作，相关人员信息于到岗日签2天报备甲方</w:t>
      </w:r>
      <w:r>
        <w:rPr>
          <w:rFonts w:hint="eastAsia"/>
          <w:sz w:val="24"/>
          <w:lang w:eastAsia="zh-CN"/>
        </w:rPr>
        <w:t>。</w:t>
      </w:r>
    </w:p>
    <w:p w14:paraId="4041D4C8">
      <w:pPr>
        <w:ind w:firstLine="420"/>
        <w:jc w:val="left"/>
      </w:pPr>
      <w:r>
        <w:rPr>
          <w:rFonts w:hint="eastAsia"/>
          <w:sz w:val="24"/>
          <w:lang w:eastAsia="zh-CN"/>
        </w:rPr>
        <w:t>（</w:t>
      </w:r>
      <w:r>
        <w:rPr>
          <w:rFonts w:hint="eastAsia"/>
          <w:sz w:val="24"/>
          <w:lang w:val="en-US" w:eastAsia="zh-CN"/>
        </w:rPr>
        <w:t>十四）</w:t>
      </w:r>
      <w:r>
        <w:rPr>
          <w:sz w:val="24"/>
        </w:rPr>
        <w:t>招标文件、投标文件及合同附件中约定的甲方其它权利义务。</w:t>
      </w:r>
    </w:p>
    <w:p w14:paraId="374C636A">
      <w:pPr>
        <w:jc w:val="both"/>
      </w:pPr>
      <w:r>
        <w:rPr>
          <w:b/>
          <w:sz w:val="24"/>
        </w:rPr>
        <w:t>第六条</w:t>
      </w:r>
      <w:r>
        <w:rPr>
          <w:sz w:val="24"/>
        </w:rPr>
        <w:t>乙方权利义务</w:t>
      </w:r>
    </w:p>
    <w:p w14:paraId="5B0012CE">
      <w:pPr>
        <w:ind w:firstLine="480"/>
        <w:jc w:val="both"/>
      </w:pPr>
      <w:r>
        <w:rPr>
          <w:sz w:val="24"/>
        </w:rPr>
        <w:t>未经甲方同意，乙方无权在服务区域中从事任何广告活动或类似宣传，甲方有权按照广告法和甲方的相关规定对乙方进行处罚；但甲方在该区域发布的广告宣传在不致影响乙方工作的情况下，乙方应予以配合。</w:t>
      </w:r>
    </w:p>
    <w:p w14:paraId="5B7FD6A4">
      <w:pPr>
        <w:ind w:firstLine="480"/>
        <w:jc w:val="both"/>
      </w:pPr>
      <w:r>
        <w:rPr>
          <w:sz w:val="24"/>
        </w:rPr>
        <w:t>乙方不得以甲方的名义从事任何经济活动，且由此发生的一切债权、债务与甲方无关。</w:t>
      </w:r>
    </w:p>
    <w:p w14:paraId="229A30D7">
      <w:pPr>
        <w:jc w:val="both"/>
      </w:pPr>
      <w:r>
        <w:rPr>
          <w:sz w:val="24"/>
        </w:rPr>
        <w:t>一、安保</w:t>
      </w:r>
    </w:p>
    <w:p w14:paraId="5149987D">
      <w:pPr>
        <w:ind w:firstLine="425"/>
        <w:jc w:val="left"/>
      </w:pPr>
      <w:r>
        <w:rPr>
          <w:sz w:val="24"/>
        </w:rPr>
        <w:t>（一）根据有关法律法规及本合同的约定，制订管理制度，编制管理年度计划，并经甲方审定后实施。</w:t>
      </w:r>
    </w:p>
    <w:p w14:paraId="598E6D80">
      <w:pPr>
        <w:ind w:firstLine="425"/>
        <w:jc w:val="left"/>
      </w:pPr>
      <w:r>
        <w:rPr>
          <w:sz w:val="24"/>
        </w:rPr>
        <w:t>（二）乙方应在日常管理中建立书面的交接班、请（休）假等登记制度并做好有关材料的存档保管工作，甲方有权查阅记录。</w:t>
      </w:r>
    </w:p>
    <w:p w14:paraId="2A17BF76">
      <w:pPr>
        <w:ind w:firstLine="425"/>
        <w:jc w:val="left"/>
      </w:pPr>
      <w:r>
        <w:rPr>
          <w:sz w:val="24"/>
        </w:rPr>
        <w:t>（三）乙方不得全部或部分转包或分包项目内容，乙方转包或分包项目内容的，甲方有权解除合同，并要求乙方在规定的时间内移交安保、安保管理用房及有关档案资料，同时甲方不予退还履约保证金（银行履约保函）。</w:t>
      </w:r>
    </w:p>
    <w:p w14:paraId="36ADB999">
      <w:pPr>
        <w:ind w:firstLine="425"/>
        <w:jc w:val="left"/>
      </w:pPr>
      <w:r>
        <w:rPr>
          <w:sz w:val="24"/>
        </w:rPr>
        <w:t>（四）负责编制管理年度安保服务计划。</w:t>
      </w:r>
    </w:p>
    <w:p w14:paraId="706D9040">
      <w:pPr>
        <w:ind w:firstLine="425"/>
        <w:jc w:val="left"/>
      </w:pPr>
      <w:r>
        <w:rPr>
          <w:sz w:val="24"/>
        </w:rPr>
        <w:t>（五）对甲方提供使用的办公用房、设施，乙方不得擅自改建或改变使用功能。</w:t>
      </w:r>
    </w:p>
    <w:p w14:paraId="771D1E20">
      <w:pPr>
        <w:ind w:firstLine="425"/>
        <w:jc w:val="left"/>
      </w:pPr>
      <w:r>
        <w:rPr>
          <w:sz w:val="24"/>
        </w:rPr>
        <w:t>（六）在日常管理过程中发生的事故应及时告知甲方。</w:t>
      </w:r>
    </w:p>
    <w:p w14:paraId="1BD0E88F">
      <w:pPr>
        <w:ind w:firstLine="425"/>
        <w:jc w:val="left"/>
      </w:pPr>
      <w:r>
        <w:rPr>
          <w:sz w:val="24"/>
        </w:rPr>
        <w:t>（七）在服务期内，乙方必须做好工作人员所需要的安全教育及安全措施，保证工作人员的安全，乙方工作人员在甲方工作范围内发生事故的一切责任由乙方负责。</w:t>
      </w:r>
    </w:p>
    <w:p w14:paraId="061A93BE">
      <w:pPr>
        <w:ind w:firstLine="425"/>
        <w:jc w:val="left"/>
      </w:pPr>
      <w:r>
        <w:rPr>
          <w:sz w:val="24"/>
        </w:rPr>
        <w:t>（八）乙方的服务人员要有符合国家规定的上岗证，乙方的服务人员须听从甲方调动指挥。</w:t>
      </w:r>
    </w:p>
    <w:p w14:paraId="3E0B6844">
      <w:pPr>
        <w:ind w:firstLine="425"/>
        <w:jc w:val="left"/>
      </w:pPr>
      <w:r>
        <w:rPr>
          <w:sz w:val="24"/>
        </w:rPr>
        <w:t>（九）对派驻本项目的安保管理服务人员，乙方要严格审查，确保派驻本项目的全体安保管理服务人员均无刑事犯罪记录，必须经培训持《保安员证》上岗。巡逻岗需持有Ｃ1以上驾驶证、消防控制室需6人持有《建（构）筑物消防员证》或《消防设施操作员证》）。重要岗位人员聘用须经甲方审定。同时，乙方的服务人员须听从甲方调动指挥。</w:t>
      </w:r>
    </w:p>
    <w:p w14:paraId="1D78F7A1">
      <w:pPr>
        <w:ind w:firstLine="425"/>
        <w:jc w:val="left"/>
      </w:pPr>
      <w:r>
        <w:rPr>
          <w:sz w:val="24"/>
        </w:rPr>
        <w:t>（十）在合同生效期内，乙方所有人员仅与乙方建立劳动合同关系，且所有人员使用须符合《中华人民共和国劳动法》、《中华人民共和国劳动合同法》以及相关法律法规的要求。乙方人员发生任何事故或与乙方发生劳动争议均由乙方自行全权负责，相关费用乙方自行承担，以保证甲方在乙方人员索赔时不受任何责任的约束。乙方所有人员的劳动报酬及相关社会、医疗保障等福利，必须符合国家、服务所在地的相关规定和本合同规定。</w:t>
      </w:r>
    </w:p>
    <w:p w14:paraId="628049D2">
      <w:pPr>
        <w:ind w:firstLine="425"/>
        <w:jc w:val="left"/>
      </w:pPr>
      <w:r>
        <w:rPr>
          <w:sz w:val="24"/>
        </w:rPr>
        <w:t>（十一）乙方应为安保人员配备保安人员服装及统一的保安服务标志、保安器械等装备。</w:t>
      </w:r>
    </w:p>
    <w:p w14:paraId="6D343859">
      <w:pPr>
        <w:ind w:firstLine="425"/>
        <w:jc w:val="left"/>
      </w:pPr>
      <w:r>
        <w:rPr>
          <w:sz w:val="24"/>
        </w:rPr>
        <w:t>（十二）安保人员的变动须遵循当地公安部门的有关规定。</w:t>
      </w:r>
    </w:p>
    <w:p w14:paraId="6BC1DE28">
      <w:pPr>
        <w:ind w:firstLine="425"/>
        <w:jc w:val="left"/>
      </w:pPr>
      <w:r>
        <w:rPr>
          <w:sz w:val="24"/>
        </w:rPr>
        <w:t>（十三）本合同终止时，乙方须向甲方移交有关档案资料。</w:t>
      </w:r>
    </w:p>
    <w:p w14:paraId="65CA99F9">
      <w:pPr>
        <w:jc w:val="left"/>
      </w:pPr>
      <w:r>
        <w:rPr>
          <w:sz w:val="24"/>
        </w:rPr>
        <w:t>二、物业保洁</w:t>
      </w:r>
    </w:p>
    <w:p w14:paraId="432FAC4F">
      <w:pPr>
        <w:ind w:firstLine="480"/>
        <w:jc w:val="left"/>
      </w:pPr>
      <w:r>
        <w:rPr>
          <w:sz w:val="24"/>
        </w:rPr>
        <w:t>（一）根据有关法律法规及本合同的约定，制订物业管理服务制度，编制管理年度计划，并经甲方审定后实施。</w:t>
      </w:r>
    </w:p>
    <w:p w14:paraId="7620F84A">
      <w:pPr>
        <w:ind w:firstLine="480"/>
        <w:jc w:val="left"/>
      </w:pPr>
      <w:r>
        <w:rPr>
          <w:sz w:val="24"/>
        </w:rPr>
        <w:t>（二）乙方应在日常管理中建立书面的交接班、请（休）假等登记制度并做好有关材料的存档保管工作，甲方有权查阅记录。</w:t>
      </w:r>
    </w:p>
    <w:p w14:paraId="4034817F">
      <w:pPr>
        <w:ind w:firstLine="480"/>
        <w:jc w:val="left"/>
      </w:pPr>
      <w:r>
        <w:rPr>
          <w:sz w:val="24"/>
        </w:rPr>
        <w:t>（三）乙方不得全部或部分转包或分包本项目内容，乙方转包或分包本项目内容的，甲方有权无条件解除合同，并要求乙方在规定的时间内移交物业、物业管理用房及有关档案资料，同时甲方不予退还履约保证金（银行履约保函）。</w:t>
      </w:r>
    </w:p>
    <w:p w14:paraId="14C18998">
      <w:pPr>
        <w:ind w:firstLine="480"/>
        <w:jc w:val="left"/>
      </w:pPr>
      <w:r>
        <w:rPr>
          <w:sz w:val="24"/>
        </w:rPr>
        <w:t>（四）对物业使用人违反法规、规章的行为，有责任告知甲方处理。</w:t>
      </w:r>
    </w:p>
    <w:p w14:paraId="35B03A9C">
      <w:pPr>
        <w:ind w:firstLine="480"/>
        <w:jc w:val="left"/>
      </w:pPr>
      <w:r>
        <w:rPr>
          <w:sz w:val="24"/>
        </w:rPr>
        <w:t>（五）在物业日常管理过程中发生的事故应及时告知甲方；物业设施需要维修、保养的，应事先告知甲方；事故已发生的、物业设施正在维修、保养即不处于正常运行状态的，应设置现场警示牌，并告知甲方。</w:t>
      </w:r>
    </w:p>
    <w:p w14:paraId="156FB32F">
      <w:pPr>
        <w:ind w:firstLine="480"/>
        <w:jc w:val="left"/>
      </w:pPr>
      <w:r>
        <w:rPr>
          <w:sz w:val="24"/>
        </w:rPr>
        <w:t>（六）对甲方提供使用的办公用房、公用设施，乙方不得擅自占用和改变使用功能。</w:t>
      </w:r>
    </w:p>
    <w:p w14:paraId="1D451C2B">
      <w:pPr>
        <w:ind w:firstLine="480"/>
        <w:jc w:val="left"/>
      </w:pPr>
      <w:r>
        <w:rPr>
          <w:sz w:val="24"/>
        </w:rPr>
        <w:t>（七）在物业日常管理过程中对无法解决的事项，要及时向甲方反映。</w:t>
      </w:r>
    </w:p>
    <w:p w14:paraId="09C39550">
      <w:pPr>
        <w:ind w:firstLine="480"/>
        <w:jc w:val="left"/>
      </w:pPr>
      <w:r>
        <w:rPr>
          <w:sz w:val="24"/>
        </w:rPr>
        <w:t>（八）在服务期内，乙方必须做好工作人员所需要的安全教育及安全措施，保证工作人员的安全，乙方工作人员在甲方工作范围内发生事故的一切责任由乙方负责。</w:t>
      </w:r>
    </w:p>
    <w:p w14:paraId="77E293BF">
      <w:pPr>
        <w:ind w:firstLine="480"/>
        <w:jc w:val="left"/>
      </w:pPr>
      <w:r>
        <w:rPr>
          <w:sz w:val="24"/>
        </w:rPr>
        <w:t>（九）对派驻本项目的物业管理服务人员，乙方要严格审查，确保派驻本项目的全体物业管理服务人员均无刑事犯罪记录，重要岗位人员聘用须经甲方审定。同时，乙方的服务人员须听从甲方调动指挥。</w:t>
      </w:r>
    </w:p>
    <w:p w14:paraId="5E75C55D">
      <w:pPr>
        <w:ind w:firstLine="480"/>
        <w:jc w:val="left"/>
      </w:pPr>
      <w:r>
        <w:rPr>
          <w:sz w:val="24"/>
        </w:rPr>
        <w:t>（十）在合同生效期内，乙方所有人员仅与乙方建立劳动合同关系，且所有人员使用须符合《中华人民共和国劳动法》、《中华人民共和国劳动合同法》以及相关法律法规的要求。乙方人员发生任何事故或与乙方发生劳动争议均由乙方自行全权负责，相关费用乙方自行承担，以保证甲方在乙方人员索赔时不受任何责任的约束。乙方所有人员的劳动报酬及相关社会、医疗保障等福利，必须符合国家、服务所在地的相关规定和本合同规定。</w:t>
      </w:r>
    </w:p>
    <w:p w14:paraId="02A5615D">
      <w:pPr>
        <w:ind w:firstLine="480"/>
        <w:jc w:val="left"/>
      </w:pPr>
      <w:r>
        <w:rPr>
          <w:sz w:val="24"/>
        </w:rPr>
        <w:t>（十一）乙方应为派驻在甲方单位的工作人员配备统一的工作服装、工作牌等。</w:t>
      </w:r>
    </w:p>
    <w:p w14:paraId="1C70360F">
      <w:pPr>
        <w:ind w:firstLine="480"/>
        <w:jc w:val="left"/>
      </w:pPr>
      <w:r>
        <w:rPr>
          <w:sz w:val="24"/>
        </w:rPr>
        <w:t>（十二）本合同终止时，乙方必须在甲方要求的时间内及时移交本物业，并向甲方移交全部管理用房及有关档案资料。</w:t>
      </w:r>
    </w:p>
    <w:p w14:paraId="0C38686A">
      <w:pPr>
        <w:ind w:firstLine="480"/>
        <w:jc w:val="left"/>
        <w:rPr>
          <w:sz w:val="24"/>
        </w:rPr>
      </w:pPr>
      <w:r>
        <w:rPr>
          <w:sz w:val="24"/>
        </w:rPr>
        <w:t>（十三）招标文件及合同附件中约定的乙方其它权利义务。</w:t>
      </w:r>
    </w:p>
    <w:p w14:paraId="01DDDCA9">
      <w:pPr>
        <w:ind w:firstLine="480"/>
        <w:jc w:val="left"/>
        <w:rPr>
          <w:rFonts w:hint="eastAsia" w:eastAsiaTheme="minorEastAsia"/>
          <w:sz w:val="24"/>
          <w:lang w:eastAsia="zh-CN"/>
        </w:rPr>
      </w:pPr>
      <w:r>
        <w:rPr>
          <w:rFonts w:hint="eastAsia"/>
          <w:sz w:val="24"/>
          <w:lang w:eastAsia="zh-CN"/>
        </w:rPr>
        <w:t>（</w:t>
      </w:r>
      <w:r>
        <w:rPr>
          <w:rFonts w:hint="eastAsia"/>
          <w:sz w:val="24"/>
          <w:lang w:val="en-US" w:eastAsia="zh-CN"/>
        </w:rPr>
        <w:t>十四</w:t>
      </w:r>
      <w:r>
        <w:rPr>
          <w:rFonts w:hint="eastAsia"/>
          <w:sz w:val="24"/>
          <w:lang w:eastAsia="zh-CN"/>
        </w:rPr>
        <w:t>）乙方完全遵守《中华人民共和国妇女权益保障法》中关于“劳动和社会保障权益”的有关要求。</w:t>
      </w:r>
    </w:p>
    <w:p w14:paraId="49131E98">
      <w:pPr>
        <w:jc w:val="center"/>
        <w:outlineLvl w:val="2"/>
      </w:pPr>
      <w:r>
        <w:rPr>
          <w:b/>
          <w:sz w:val="24"/>
        </w:rPr>
        <w:t>五、服务质量</w:t>
      </w:r>
    </w:p>
    <w:p w14:paraId="5508C1D5">
      <w:pPr>
        <w:jc w:val="both"/>
      </w:pPr>
      <w:r>
        <w:rPr>
          <w:b/>
          <w:sz w:val="24"/>
        </w:rPr>
        <w:t>第七条</w:t>
      </w:r>
      <w:r>
        <w:rPr>
          <w:sz w:val="24"/>
        </w:rPr>
        <w:t>具体质量要求详见公开招标文件第二章采购需求。</w:t>
      </w:r>
    </w:p>
    <w:p w14:paraId="17EA065C">
      <w:pPr>
        <w:jc w:val="center"/>
        <w:outlineLvl w:val="2"/>
      </w:pPr>
      <w:r>
        <w:rPr>
          <w:b/>
          <w:sz w:val="24"/>
        </w:rPr>
        <w:t>六、合同金额及付款方式</w:t>
      </w:r>
    </w:p>
    <w:p w14:paraId="3904FCF9">
      <w:pPr>
        <w:jc w:val="both"/>
      </w:pPr>
      <w:r>
        <w:rPr>
          <w:b/>
          <w:sz w:val="24"/>
        </w:rPr>
        <w:t>第八条</w:t>
      </w:r>
      <w:r>
        <w:rPr>
          <w:sz w:val="24"/>
        </w:rPr>
        <w:t>合同金额</w:t>
      </w:r>
    </w:p>
    <w:p w14:paraId="6D50D3F1">
      <w:pPr>
        <w:ind w:firstLine="480"/>
        <w:jc w:val="both"/>
      </w:pPr>
      <w:r>
        <w:rPr>
          <w:sz w:val="24"/>
        </w:rPr>
        <w:t>本合同总金额为人民币￥</w:t>
      </w:r>
      <w:r>
        <w:rPr>
          <w:sz w:val="21"/>
          <w:u w:val="single"/>
        </w:rPr>
        <w:t xml:space="preserve">      </w:t>
      </w:r>
      <w:r>
        <w:rPr>
          <w:sz w:val="24"/>
        </w:rPr>
        <w:t>元（大写：￥</w:t>
      </w:r>
      <w:r>
        <w:rPr>
          <w:sz w:val="21"/>
          <w:u w:val="single"/>
        </w:rPr>
        <w:t xml:space="preserve">         </w:t>
      </w:r>
      <w:r>
        <w:rPr>
          <w:sz w:val="24"/>
        </w:rPr>
        <w:t>）。此费用甲方分</w:t>
      </w:r>
      <w:r>
        <w:rPr>
          <w:sz w:val="24"/>
          <w:u w:val="single"/>
        </w:rPr>
        <w:t>12</w:t>
      </w:r>
      <w:r>
        <w:rPr>
          <w:sz w:val="24"/>
        </w:rPr>
        <w:t>期支付，采用包干制，除本合同明确约定可以另外收取的费用外，所有相关费用均包括在内，乙方不得另行向甲方或使用人收取任何费用。</w:t>
      </w:r>
    </w:p>
    <w:p w14:paraId="43DB1448">
      <w:pPr>
        <w:jc w:val="both"/>
      </w:pPr>
      <w:r>
        <w:rPr>
          <w:b/>
          <w:sz w:val="24"/>
        </w:rPr>
        <w:t>第九条</w:t>
      </w:r>
      <w:r>
        <w:rPr>
          <w:sz w:val="24"/>
        </w:rPr>
        <w:t>付款方式</w:t>
      </w:r>
    </w:p>
    <w:p w14:paraId="1D074AB7">
      <w:pPr>
        <w:ind w:firstLine="480"/>
        <w:jc w:val="left"/>
      </w:pPr>
      <w:r>
        <w:rPr>
          <w:sz w:val="24"/>
        </w:rPr>
        <w:t>（一）第一期服务费：合同签订后，乙方提供等额有效发票、银行保函、付款申请材料及工作人员清单交于甲方，甲方在收齐所需材料后5个工作日内支付合同金额的30%作为预付款。</w:t>
      </w:r>
    </w:p>
    <w:p w14:paraId="1BEB2040">
      <w:pPr>
        <w:ind w:firstLine="480"/>
        <w:jc w:val="left"/>
      </w:pPr>
      <w:r>
        <w:rPr>
          <w:sz w:val="24"/>
        </w:rPr>
        <w:t>（二）第二至第十二期服务费：按每月实际使用结算（先抵扣预付款</w:t>
      </w:r>
      <w:r>
        <w:rPr>
          <w:rFonts w:hint="eastAsia"/>
          <w:sz w:val="24"/>
          <w:lang w:eastAsia="zh-CN"/>
        </w:rPr>
        <w:t>，但不得突破合同总金额</w:t>
      </w:r>
      <w:r>
        <w:rPr>
          <w:sz w:val="24"/>
        </w:rPr>
        <w:t>），甲方在每个服务周期（每月）结束后的5个工作日内根据《</w:t>
      </w:r>
      <w:r>
        <w:rPr>
          <w:rFonts w:hint="eastAsia"/>
          <w:sz w:val="24"/>
          <w:lang w:eastAsia="zh-CN"/>
        </w:rPr>
        <w:t>广州市干部和人才健康管理中心</w:t>
      </w:r>
      <w:r>
        <w:rPr>
          <w:sz w:val="24"/>
        </w:rPr>
        <w:t>保安服务质量标准与考评细则》及《</w:t>
      </w:r>
      <w:r>
        <w:rPr>
          <w:rFonts w:hint="eastAsia"/>
          <w:sz w:val="24"/>
          <w:lang w:eastAsia="zh-CN"/>
        </w:rPr>
        <w:t>广州市干部和人才健康管理中心</w:t>
      </w:r>
      <w:r>
        <w:rPr>
          <w:sz w:val="24"/>
        </w:rPr>
        <w:t>保洁服务综合考核评分表》对上个月乙方及其人员进行服务质量考评,并按“验收要求”扣罚后计算上月服务费。乙方根据考评结果提供等额有效发票给甲方，同时提交上月的《工作总结》，甲方在收到发票且认可提交的《工作总结》后</w:t>
      </w:r>
      <w:r>
        <w:rPr>
          <w:rFonts w:hint="eastAsia"/>
          <w:sz w:val="24"/>
          <w:lang w:val="en-US" w:eastAsia="zh-CN"/>
        </w:rPr>
        <w:t>1</w:t>
      </w:r>
      <w:r>
        <w:rPr>
          <w:sz w:val="24"/>
        </w:rPr>
        <w:t>5个工作日内支付上一服务周期（每月）费用给乙方。否则，乙方未提交齐前述文件前，甲方有权顺延支付对应服务期的安保、物业保洁服务费。</w:t>
      </w:r>
    </w:p>
    <w:p w14:paraId="15560F67">
      <w:pPr>
        <w:ind w:firstLine="480"/>
        <w:jc w:val="left"/>
      </w:pPr>
      <w:r>
        <w:rPr>
          <w:sz w:val="24"/>
        </w:rPr>
        <w:t>（三）乙方指定收款银行账户信息：</w:t>
      </w:r>
    </w:p>
    <w:p w14:paraId="7DFDDAE7">
      <w:pPr>
        <w:ind w:firstLine="480"/>
        <w:jc w:val="left"/>
      </w:pPr>
      <w:r>
        <w:rPr>
          <w:sz w:val="24"/>
        </w:rPr>
        <w:t>开户名称：</w:t>
      </w:r>
    </w:p>
    <w:p w14:paraId="573C6631">
      <w:pPr>
        <w:ind w:firstLine="480"/>
        <w:jc w:val="left"/>
      </w:pPr>
      <w:r>
        <w:rPr>
          <w:sz w:val="24"/>
        </w:rPr>
        <w:t>开户银行：</w:t>
      </w:r>
    </w:p>
    <w:p w14:paraId="2A4C436C">
      <w:pPr>
        <w:ind w:firstLine="480"/>
        <w:jc w:val="left"/>
      </w:pPr>
      <w:r>
        <w:rPr>
          <w:sz w:val="24"/>
        </w:rPr>
        <w:t>银行账户：</w:t>
      </w:r>
    </w:p>
    <w:p w14:paraId="0FA9602A">
      <w:pPr>
        <w:ind w:firstLine="480"/>
        <w:jc w:val="left"/>
      </w:pPr>
      <w:r>
        <w:rPr>
          <w:sz w:val="24"/>
        </w:rPr>
        <w:t>（四）乙方申请付款的，应在每期支付前向甲方提供等额合法有效增值税发票及相关辅助性请款资料，甲方收齐发票及相关请款资料后按照政府财政支付流程启动付款程序。甲方向政府财政部门提出支付申请，即视为甲方已经完成付款义务，政府财政部门审核的时间不包含在甲方的付款期限内，且付款金额以政府财政部门最终审核的金额为准。如因乙方迟延提供发票及请款资料等原因导致甲方在本合同约定的期限范围内未能办理申请支付手续，甲方办理申请支付手续的期限相应顺延，且无需承担任何违约责任。因甲方年度支出预算不足无法足额支付当期服务费的，则应顺延到下一财年完成该期剩余款的支付，由于财政资金拨款不到位而导致甲方逾期付款的，甲方不承担违约责任，乙方不因上述原因拒绝为甲方提供服务。</w:t>
      </w:r>
    </w:p>
    <w:p w14:paraId="5CEAAC8F">
      <w:pPr>
        <w:jc w:val="both"/>
      </w:pPr>
      <w:r>
        <w:rPr>
          <w:b/>
          <w:sz w:val="24"/>
        </w:rPr>
        <w:t>第十条</w:t>
      </w:r>
      <w:r>
        <w:rPr>
          <w:sz w:val="24"/>
        </w:rPr>
        <w:t>服务费用</w:t>
      </w:r>
    </w:p>
    <w:p w14:paraId="7CFF7086">
      <w:pPr>
        <w:ind w:firstLine="480"/>
        <w:jc w:val="left"/>
      </w:pPr>
      <w:r>
        <w:rPr>
          <w:sz w:val="24"/>
        </w:rPr>
        <w:t>本合同履行期限内，合同服务费用总价不因市场价格波动发生变化。服务履行成本增加的，则由乙方负责；服务期内，甲方对包括但不限于安保、物业保洁服务费在内的全部合同费用不予调整。</w:t>
      </w:r>
    </w:p>
    <w:p w14:paraId="7B7D7F26">
      <w:pPr>
        <w:jc w:val="center"/>
        <w:outlineLvl w:val="2"/>
      </w:pPr>
      <w:r>
        <w:rPr>
          <w:b/>
          <w:sz w:val="24"/>
        </w:rPr>
        <w:t>七、履约保证金</w:t>
      </w:r>
    </w:p>
    <w:p w14:paraId="58C84788">
      <w:pPr>
        <w:jc w:val="both"/>
      </w:pPr>
      <w:r>
        <w:rPr>
          <w:b/>
          <w:sz w:val="24"/>
        </w:rPr>
        <w:t>第十一条</w:t>
      </w:r>
      <w:r>
        <w:rPr>
          <w:sz w:val="24"/>
        </w:rPr>
        <w:t>乙方与甲方</w:t>
      </w:r>
      <w:r>
        <w:rPr>
          <w:rFonts w:hint="eastAsia"/>
          <w:sz w:val="24"/>
        </w:rPr>
        <w:t>签订合同后15个工作日内，按合同总价的10%（</w:t>
      </w:r>
      <w:r>
        <w:rPr>
          <w:rFonts w:hint="eastAsia"/>
          <w:sz w:val="24"/>
          <w:lang w:val="en-US" w:eastAsia="zh-CN"/>
        </w:rPr>
        <w:t>乙方</w:t>
      </w:r>
      <w:r>
        <w:rPr>
          <w:rFonts w:hint="eastAsia"/>
          <w:sz w:val="24"/>
        </w:rPr>
        <w:t>为中小微企业的，则按合同总价的5%）以支票、汇票、本票或者金融机构、担保机构出具的保函等非现金形式向采购人提交履约保证金。</w:t>
      </w:r>
      <w:r>
        <w:rPr>
          <w:sz w:val="24"/>
        </w:rPr>
        <w:t>期限为十二个月，并将履约保函原件送交甲方备查和代为保管。</w:t>
      </w:r>
    </w:p>
    <w:p w14:paraId="1EA38180">
      <w:pPr>
        <w:ind w:firstLine="480"/>
        <w:jc w:val="both"/>
      </w:pPr>
      <w:r>
        <w:rPr>
          <w:sz w:val="24"/>
        </w:rPr>
        <w:t>乙方发生如下情形之一的，甲方不予退还履约保证金：</w:t>
      </w:r>
    </w:p>
    <w:p w14:paraId="2AAF7674">
      <w:pPr>
        <w:ind w:firstLine="420"/>
        <w:jc w:val="both"/>
      </w:pPr>
      <w:r>
        <w:rPr>
          <w:sz w:val="24"/>
        </w:rPr>
        <w:t>（一）乙方事前未告知或未征得甲方同意而将本项目全部或部分转包或分包给第三方的；</w:t>
      </w:r>
    </w:p>
    <w:p w14:paraId="4BAD6971">
      <w:pPr>
        <w:ind w:firstLine="420"/>
        <w:jc w:val="both"/>
      </w:pPr>
      <w:r>
        <w:rPr>
          <w:sz w:val="24"/>
        </w:rPr>
        <w:t>（二）未能按合同约定履行安保、物业保洁管理义务、职责；</w:t>
      </w:r>
    </w:p>
    <w:p w14:paraId="28E260B6">
      <w:pPr>
        <w:ind w:firstLine="420"/>
        <w:jc w:val="both"/>
      </w:pPr>
      <w:r>
        <w:rPr>
          <w:sz w:val="24"/>
        </w:rPr>
        <w:t>（三）提供服务过程中造成甲方人身伤害或财物损失而未在甲方指定期限内赔偿损失的；</w:t>
      </w:r>
    </w:p>
    <w:p w14:paraId="5B4EC40E">
      <w:pPr>
        <w:ind w:firstLine="420"/>
        <w:jc w:val="both"/>
      </w:pPr>
      <w:r>
        <w:rPr>
          <w:sz w:val="24"/>
        </w:rPr>
        <w:t>（四）在安保、物业保洁管理发生严重失职导致责任事故或者不良社会影响的；</w:t>
      </w:r>
    </w:p>
    <w:p w14:paraId="7808E19A">
      <w:pPr>
        <w:ind w:firstLine="420"/>
        <w:jc w:val="both"/>
      </w:pPr>
      <w:r>
        <w:rPr>
          <w:sz w:val="24"/>
        </w:rPr>
        <w:t>（五）克扣或未按规定及时足额支付本项目配置人员工资福利待遇的；</w:t>
      </w:r>
    </w:p>
    <w:p w14:paraId="5C588A18">
      <w:pPr>
        <w:ind w:firstLine="420"/>
        <w:jc w:val="both"/>
      </w:pPr>
      <w:r>
        <w:rPr>
          <w:sz w:val="24"/>
        </w:rPr>
        <w:t>（六）乙方违反合同规定，所提供的服务未达到合同要求，甲方书面提出整改通知，累计提出达二次，乙方未按要求及时整改的；</w:t>
      </w:r>
    </w:p>
    <w:p w14:paraId="090A5B3B">
      <w:pPr>
        <w:ind w:firstLine="420"/>
        <w:jc w:val="both"/>
      </w:pPr>
      <w:r>
        <w:rPr>
          <w:sz w:val="24"/>
        </w:rPr>
        <w:t>（七）合同期内乙方不再具备安保、物业保洁服务资质的。</w:t>
      </w:r>
    </w:p>
    <w:p w14:paraId="443AD7C6">
      <w:pPr>
        <w:ind w:firstLine="420"/>
        <w:jc w:val="both"/>
      </w:pPr>
      <w:r>
        <w:rPr>
          <w:sz w:val="24"/>
        </w:rPr>
        <w:t>如在合同期内，乙方发生以上情形之一，甲方可直接从乙方提供银行履约保函的银行及/或从未支付乙方的款项中直接提取或者扣除违约金作为造成各种损失的赔偿。甲方提取或者扣除违约金后，乙方应在三日内自行向相关机构补足履约保证金不足金额。</w:t>
      </w:r>
    </w:p>
    <w:p w14:paraId="7EE1AE82">
      <w:pPr>
        <w:jc w:val="both"/>
      </w:pPr>
      <w:r>
        <w:rPr>
          <w:b/>
          <w:sz w:val="24"/>
        </w:rPr>
        <w:t>第十二条</w:t>
      </w:r>
      <w:r>
        <w:rPr>
          <w:sz w:val="24"/>
        </w:rPr>
        <w:t>若乙方没有违约行为，履约保证金待本合同履约保证期限届满，与新一期中标供应商顺利交接并经三方（甲方、乙方、新一期中标供应商）确认无误后15个工作日内无息退还至乙方。甲方逾期不退还履约保证金的，甲方除应退还履约保证金本金外，须按中国人民银行授权的全国银行间同业拆借中心在逾期当月20日（遇节假日顺延）9时30分公布的贷款市场报价利率支付超期资金占用费，但因乙方自身原因导致无法及时退还的除外。</w:t>
      </w:r>
    </w:p>
    <w:p w14:paraId="02869E02">
      <w:pPr>
        <w:jc w:val="center"/>
        <w:outlineLvl w:val="2"/>
      </w:pPr>
      <w:r>
        <w:rPr>
          <w:b/>
          <w:sz w:val="24"/>
        </w:rPr>
        <w:t>八、不可抗力</w:t>
      </w:r>
    </w:p>
    <w:p w14:paraId="46E03A45">
      <w:pPr>
        <w:jc w:val="both"/>
      </w:pPr>
      <w:r>
        <w:rPr>
          <w:b/>
          <w:sz w:val="24"/>
        </w:rPr>
        <w:t>第十三条</w:t>
      </w:r>
      <w:r>
        <w:rPr>
          <w:sz w:val="24"/>
        </w:rPr>
        <w:t>由于不可预见、不可避免、不可克服等不可抗力的原因，一方不能履行合同义务的，应在不可抗力事件结束后1日内以书面形式通知对方，以减轻可能给对方造成的损失，在取得有关机构的不可抗力证明或双方谅解确认后，允许延期履行或修订合同，并根据情况可部分或全部免于承担违约责任。</w:t>
      </w:r>
    </w:p>
    <w:p w14:paraId="6127B0E2">
      <w:pPr>
        <w:jc w:val="both"/>
      </w:pPr>
      <w:r>
        <w:rPr>
          <w:b/>
          <w:sz w:val="24"/>
        </w:rPr>
        <w:t>第十四条</w:t>
      </w:r>
      <w:r>
        <w:rPr>
          <w:sz w:val="24"/>
        </w:rPr>
        <w:t>不可抗力事件发生后，甲方和乙方应当积极寻求以合理的方式履行本合同。如不可抗力无法消除，致使合同目的无法实现的，双方均有权解除合同，且均不互相索赔。</w:t>
      </w:r>
    </w:p>
    <w:p w14:paraId="1E143147">
      <w:pPr>
        <w:jc w:val="center"/>
        <w:outlineLvl w:val="2"/>
      </w:pPr>
      <w:r>
        <w:rPr>
          <w:b/>
          <w:sz w:val="24"/>
        </w:rPr>
        <w:t>九、服务费的扣罚</w:t>
      </w:r>
    </w:p>
    <w:p w14:paraId="2F5F9DD1">
      <w:pPr>
        <w:jc w:val="both"/>
      </w:pPr>
      <w:r>
        <w:rPr>
          <w:b/>
          <w:sz w:val="24"/>
        </w:rPr>
        <w:t>第十五条</w:t>
      </w:r>
      <w:r>
        <w:rPr>
          <w:sz w:val="24"/>
        </w:rPr>
        <w:t>扣罚标准：按招标文件第二章“采购需求”相关规定执行。</w:t>
      </w:r>
    </w:p>
    <w:p w14:paraId="4FD50B09">
      <w:pPr>
        <w:jc w:val="both"/>
      </w:pPr>
      <w:r>
        <w:rPr>
          <w:b/>
          <w:sz w:val="24"/>
        </w:rPr>
        <w:t>第十六条</w:t>
      </w:r>
      <w:r>
        <w:rPr>
          <w:sz w:val="24"/>
        </w:rPr>
        <w:t>服务费用涉及的投诉类型、过错大小、事故性质、有效性的确定由甲、乙双方另行协商予以明确，个别投诉事项可以具体个案具体明确，有分歧异议的，以甲方的意见为准。</w:t>
      </w:r>
    </w:p>
    <w:p w14:paraId="71F21D5D">
      <w:pPr>
        <w:jc w:val="center"/>
        <w:outlineLvl w:val="2"/>
      </w:pPr>
      <w:r>
        <w:rPr>
          <w:b/>
          <w:sz w:val="24"/>
        </w:rPr>
        <w:t>十、违约责任与赔偿损失</w:t>
      </w:r>
    </w:p>
    <w:p w14:paraId="42C0AC56">
      <w:pPr>
        <w:jc w:val="both"/>
      </w:pPr>
      <w:r>
        <w:rPr>
          <w:b/>
          <w:sz w:val="24"/>
        </w:rPr>
        <w:t>第十七条</w:t>
      </w:r>
      <w:r>
        <w:rPr>
          <w:sz w:val="24"/>
        </w:rPr>
        <w:t>乙方提供的服务不符合本合同规定的，甲方有权拒收，并且乙方须向甲方支付本合同总价5%的违约金。</w:t>
      </w:r>
    </w:p>
    <w:p w14:paraId="7BEDA49F">
      <w:pPr>
        <w:jc w:val="both"/>
      </w:pPr>
      <w:r>
        <w:rPr>
          <w:b/>
          <w:sz w:val="24"/>
        </w:rPr>
        <w:t>第十八条</w:t>
      </w:r>
      <w:r>
        <w:rPr>
          <w:sz w:val="24"/>
        </w:rPr>
        <w:t>乙方未能按本合同规定的服务时间提供服务，从逾期之日起每日按本合同总价3‰的数额向甲方支付违约金；逾期半个月以上的，甲方有权终止合同，并要求乙方向甲方支付合同总价5%的违约金，由此造成的甲方经济损失由乙方承担。</w:t>
      </w:r>
    </w:p>
    <w:p w14:paraId="036F0996">
      <w:pPr>
        <w:jc w:val="both"/>
      </w:pPr>
      <w:r>
        <w:rPr>
          <w:b/>
          <w:sz w:val="24"/>
        </w:rPr>
        <w:t>第十九条</w:t>
      </w:r>
      <w:r>
        <w:rPr>
          <w:sz w:val="24"/>
        </w:rPr>
        <w:t>甲方无正当理由拒收接受服务，到期拒付服务款项的，甲方向乙方偿付本合同总价的5%的违约金。甲方逾期付款，则每日按本合同总价的3‰向乙方偿付违约金。</w:t>
      </w:r>
    </w:p>
    <w:p w14:paraId="1E2AD267">
      <w:pPr>
        <w:jc w:val="both"/>
      </w:pPr>
      <w:r>
        <w:rPr>
          <w:b/>
          <w:sz w:val="24"/>
        </w:rPr>
        <w:t>第二十条</w:t>
      </w:r>
      <w:r>
        <w:rPr>
          <w:sz w:val="24"/>
        </w:rPr>
        <w:t>其它违约责任按《中华人民共和国民法典》处理。</w:t>
      </w:r>
    </w:p>
    <w:p w14:paraId="711A79A1">
      <w:pPr>
        <w:jc w:val="both"/>
      </w:pPr>
      <w:r>
        <w:rPr>
          <w:b/>
          <w:sz w:val="24"/>
        </w:rPr>
        <w:t>第二十一条</w:t>
      </w:r>
      <w:r>
        <w:rPr>
          <w:sz w:val="24"/>
        </w:rPr>
        <w:t>本合同所指乙方赔偿甲方的损失包括但不限于因乙方违约行为导致甲方进行重新招标、向第三方采购金额超出本合同所约定的费用、律师费、诉讼费、公证费等费用。</w:t>
      </w:r>
    </w:p>
    <w:p w14:paraId="51B368A0">
      <w:pPr>
        <w:jc w:val="center"/>
        <w:outlineLvl w:val="2"/>
      </w:pPr>
      <w:r>
        <w:rPr>
          <w:b/>
          <w:sz w:val="24"/>
        </w:rPr>
        <w:t>十一、税费</w:t>
      </w:r>
    </w:p>
    <w:p w14:paraId="039CB99E">
      <w:pPr>
        <w:jc w:val="both"/>
      </w:pPr>
      <w:r>
        <w:rPr>
          <w:b/>
          <w:sz w:val="24"/>
        </w:rPr>
        <w:t>第二十二条</w:t>
      </w:r>
      <w:r>
        <w:rPr>
          <w:sz w:val="24"/>
        </w:rPr>
        <w:t>按照中国现行税法规定的与本合同履行有关的一切税费（含依法由甲方缴纳部分）均由乙方负担，本合同总费用已涵盖税费，甲方无需额外支付任何费用。</w:t>
      </w:r>
    </w:p>
    <w:p w14:paraId="01D50CCE">
      <w:pPr>
        <w:jc w:val="center"/>
        <w:outlineLvl w:val="2"/>
      </w:pPr>
      <w:r>
        <w:rPr>
          <w:b/>
          <w:sz w:val="24"/>
        </w:rPr>
        <w:t>十二、其它</w:t>
      </w:r>
    </w:p>
    <w:p w14:paraId="23FB465F">
      <w:pPr>
        <w:jc w:val="both"/>
      </w:pPr>
      <w:r>
        <w:rPr>
          <w:b/>
          <w:sz w:val="24"/>
        </w:rPr>
        <w:t>第二十三条</w:t>
      </w:r>
      <w:r>
        <w:rPr>
          <w:sz w:val="24"/>
        </w:rPr>
        <w:t>本合同所有附件、招标文件、投标文件、中标通知书均为合同的有效组成部分，与本合同具有同等法律效力。</w:t>
      </w:r>
    </w:p>
    <w:p w14:paraId="364CC5B8">
      <w:pPr>
        <w:jc w:val="both"/>
      </w:pPr>
      <w:r>
        <w:rPr>
          <w:b/>
          <w:sz w:val="24"/>
        </w:rPr>
        <w:t>第二十四条</w:t>
      </w:r>
      <w:r>
        <w:rPr>
          <w:sz w:val="24"/>
        </w:rPr>
        <w:t>在履行本合同的过程中，所有经双方签署确认的文件（包括会议纪要、补充协议、往来信函）即成为本合同的有效组成部分。如一方地址、电话、传真号码有变更，应在变更当日内书面通知对方，否则，应承担相应责任。</w:t>
      </w:r>
    </w:p>
    <w:p w14:paraId="0110417F">
      <w:pPr>
        <w:jc w:val="both"/>
      </w:pPr>
      <w:r>
        <w:rPr>
          <w:b/>
          <w:sz w:val="24"/>
        </w:rPr>
        <w:t>第二十五条</w:t>
      </w:r>
      <w:r>
        <w:rPr>
          <w:sz w:val="24"/>
        </w:rPr>
        <w:t>本合同未尽事宜，经双方协商一致后可另行签订书面补充协议，补充协议作为本合同的有效组成部分，与本合同具有同等法律效力。</w:t>
      </w:r>
    </w:p>
    <w:p w14:paraId="13093158">
      <w:pPr>
        <w:jc w:val="both"/>
        <w:rPr>
          <w:sz w:val="24"/>
        </w:rPr>
      </w:pPr>
      <w:r>
        <w:rPr>
          <w:b/>
          <w:sz w:val="24"/>
        </w:rPr>
        <w:t>第二十六条</w:t>
      </w:r>
      <w:r>
        <w:rPr>
          <w:sz w:val="24"/>
        </w:rPr>
        <w:t>凡涉及本合同或因履行本合同而发生的一切争议或纠纷，双方应首先友好协商解决；如协商不能解决时，合同的任何一方可向广州市黄埔区人民法院提起诉讼。</w:t>
      </w:r>
    </w:p>
    <w:p w14:paraId="4F229E87">
      <w:pPr>
        <w:keepNext w:val="0"/>
        <w:keepLines w:val="0"/>
        <w:widowControl w:val="0"/>
        <w:suppressLineNumbers w:val="0"/>
        <w:spacing w:before="0" w:beforeAutospacing="0" w:after="160" w:afterAutospacing="0" w:line="276" w:lineRule="auto"/>
        <w:ind w:left="0" w:right="0"/>
        <w:jc w:val="both"/>
        <w:rPr>
          <w:lang w:val="en-US"/>
        </w:rPr>
      </w:pPr>
      <w:r>
        <w:rPr>
          <w:b/>
          <w:sz w:val="24"/>
        </w:rPr>
        <w:t>第二十</w:t>
      </w:r>
      <w:r>
        <w:rPr>
          <w:rFonts w:hint="eastAsia"/>
          <w:b/>
          <w:sz w:val="24"/>
          <w:lang w:val="en-US" w:eastAsia="zh-CN"/>
        </w:rPr>
        <w:t>七</w:t>
      </w:r>
      <w:r>
        <w:rPr>
          <w:rFonts w:hint="eastAsia" w:ascii="Calibri" w:hAnsi="Calibri" w:eastAsia="宋体" w:cs="宋体"/>
          <w:b/>
          <w:bCs w:val="0"/>
          <w:color w:val="000000"/>
          <w:kern w:val="2"/>
          <w:sz w:val="21"/>
          <w:szCs w:val="24"/>
          <w:lang w:val="en-US" w:eastAsia="zh-CN" w:bidi="ar"/>
        </w:rPr>
        <w:t>验收要求：服务质量考评及结果运用</w:t>
      </w:r>
    </w:p>
    <w:p w14:paraId="1D8DC21F">
      <w:pPr>
        <w:keepNext w:val="0"/>
        <w:keepLines w:val="0"/>
        <w:widowControl w:val="0"/>
        <w:suppressLineNumbers w:val="0"/>
        <w:spacing w:before="0" w:beforeAutospacing="0" w:after="160" w:afterAutospacing="0" w:line="276" w:lineRule="auto"/>
        <w:ind w:left="0" w:right="0" w:firstLine="420"/>
        <w:jc w:val="both"/>
        <w:rPr>
          <w:color w:val="000000"/>
          <w:lang w:val="en-US"/>
        </w:rPr>
      </w:pPr>
      <w:r>
        <w:rPr>
          <w:rFonts w:hint="default" w:ascii="Calibri" w:hAnsi="Calibri" w:eastAsia="宋体" w:cs="Times New Roman"/>
          <w:color w:val="000000"/>
          <w:kern w:val="2"/>
          <w:sz w:val="21"/>
          <w:szCs w:val="24"/>
          <w:lang w:val="en-US" w:eastAsia="zh-CN" w:bidi="ar"/>
        </w:rPr>
        <w:t>1</w:t>
      </w:r>
      <w:r>
        <w:rPr>
          <w:rFonts w:hint="eastAsia" w:ascii="Calibri" w:hAnsi="Calibri" w:eastAsia="宋体" w:cs="宋体"/>
          <w:color w:val="000000"/>
          <w:kern w:val="2"/>
          <w:sz w:val="21"/>
          <w:szCs w:val="24"/>
          <w:lang w:val="en-US" w:eastAsia="zh-CN" w:bidi="ar"/>
        </w:rPr>
        <w:t>．采用百分制每月对服务质量实施考评。</w:t>
      </w:r>
    </w:p>
    <w:p w14:paraId="4537C901">
      <w:pPr>
        <w:keepNext w:val="0"/>
        <w:keepLines w:val="0"/>
        <w:widowControl w:val="0"/>
        <w:suppressLineNumbers w:val="0"/>
        <w:spacing w:before="0" w:beforeAutospacing="0" w:after="160" w:afterAutospacing="0" w:line="276" w:lineRule="auto"/>
        <w:ind w:left="0" w:right="0" w:firstLine="420"/>
        <w:jc w:val="both"/>
        <w:rPr>
          <w:color w:val="000000"/>
          <w:lang w:val="en-US"/>
        </w:rPr>
      </w:pPr>
      <w:r>
        <w:rPr>
          <w:rFonts w:hint="default" w:ascii="Calibri" w:hAnsi="Calibri" w:eastAsia="宋体" w:cs="Times New Roman"/>
          <w:color w:val="000000"/>
          <w:kern w:val="2"/>
          <w:sz w:val="21"/>
          <w:szCs w:val="24"/>
          <w:lang w:val="en-US" w:eastAsia="zh-CN" w:bidi="ar"/>
        </w:rPr>
        <w:t>2</w:t>
      </w:r>
      <w:r>
        <w:rPr>
          <w:rFonts w:hint="eastAsia" w:ascii="Calibri" w:hAnsi="Calibri" w:eastAsia="宋体" w:cs="宋体"/>
          <w:color w:val="000000"/>
          <w:kern w:val="2"/>
          <w:sz w:val="21"/>
          <w:szCs w:val="24"/>
          <w:lang w:val="en-US" w:eastAsia="zh-CN" w:bidi="ar"/>
        </w:rPr>
        <w:t>．根据服务保障内容的地位作用，分别赋予不同的分值。</w:t>
      </w:r>
    </w:p>
    <w:p w14:paraId="0ADA78B3">
      <w:pPr>
        <w:keepNext w:val="0"/>
        <w:keepLines w:val="0"/>
        <w:widowControl w:val="0"/>
        <w:suppressLineNumbers w:val="0"/>
        <w:spacing w:before="0" w:beforeAutospacing="0" w:after="160" w:afterAutospacing="0" w:line="276" w:lineRule="auto"/>
        <w:ind w:left="0" w:right="0" w:firstLine="420"/>
        <w:jc w:val="both"/>
        <w:rPr>
          <w:color w:val="000000"/>
          <w:lang w:val="en-US"/>
        </w:rPr>
      </w:pPr>
      <w:r>
        <w:rPr>
          <w:rFonts w:hint="eastAsia" w:ascii="Calibri" w:hAnsi="Calibri" w:eastAsia="宋体" w:cs="宋体"/>
          <w:color w:val="000000"/>
          <w:kern w:val="2"/>
          <w:sz w:val="21"/>
          <w:szCs w:val="24"/>
          <w:lang w:val="en-US" w:eastAsia="zh-CN" w:bidi="ar"/>
        </w:rPr>
        <w:t>（</w:t>
      </w:r>
      <w:r>
        <w:rPr>
          <w:rFonts w:hint="default" w:ascii="Calibri" w:hAnsi="Calibri" w:eastAsia="宋体" w:cs="Times New Roman"/>
          <w:color w:val="000000"/>
          <w:kern w:val="2"/>
          <w:sz w:val="21"/>
          <w:szCs w:val="24"/>
          <w:lang w:val="en-US" w:eastAsia="zh-CN" w:bidi="ar"/>
        </w:rPr>
        <w:t>1</w:t>
      </w:r>
      <w:r>
        <w:rPr>
          <w:rFonts w:hint="eastAsia" w:ascii="Calibri" w:hAnsi="Calibri" w:eastAsia="宋体" w:cs="宋体"/>
          <w:color w:val="000000"/>
          <w:kern w:val="2"/>
          <w:sz w:val="21"/>
          <w:szCs w:val="24"/>
          <w:lang w:val="en-US" w:eastAsia="zh-CN" w:bidi="ar"/>
        </w:rPr>
        <w:t>）安保服务</w:t>
      </w:r>
      <w:r>
        <w:rPr>
          <w:rFonts w:hint="default" w:ascii="Calibri" w:hAnsi="Calibri" w:eastAsia="宋体" w:cs="Times New Roman"/>
          <w:color w:val="000000"/>
          <w:kern w:val="2"/>
          <w:sz w:val="21"/>
          <w:szCs w:val="24"/>
          <w:lang w:val="en-US" w:eastAsia="zh-CN" w:bidi="ar"/>
        </w:rPr>
        <w:t>35</w:t>
      </w:r>
      <w:r>
        <w:rPr>
          <w:rFonts w:hint="eastAsia" w:ascii="Calibri" w:hAnsi="Calibri" w:eastAsia="宋体" w:cs="宋体"/>
          <w:color w:val="000000"/>
          <w:kern w:val="2"/>
          <w:sz w:val="21"/>
          <w:szCs w:val="24"/>
          <w:lang w:val="en-US" w:eastAsia="zh-CN" w:bidi="ar"/>
        </w:rPr>
        <w:t>分；</w:t>
      </w:r>
    </w:p>
    <w:p w14:paraId="3453684E">
      <w:pPr>
        <w:keepNext w:val="0"/>
        <w:keepLines w:val="0"/>
        <w:widowControl w:val="0"/>
        <w:suppressLineNumbers w:val="0"/>
        <w:spacing w:before="0" w:beforeAutospacing="0" w:after="160" w:afterAutospacing="0" w:line="276" w:lineRule="auto"/>
        <w:ind w:left="0" w:right="0" w:firstLine="420"/>
        <w:jc w:val="both"/>
        <w:rPr>
          <w:color w:val="000000"/>
          <w:lang w:val="en-US"/>
        </w:rPr>
      </w:pPr>
      <w:r>
        <w:rPr>
          <w:rFonts w:hint="eastAsia" w:ascii="Calibri" w:hAnsi="Calibri" w:eastAsia="宋体" w:cs="宋体"/>
          <w:color w:val="000000"/>
          <w:kern w:val="2"/>
          <w:sz w:val="21"/>
          <w:szCs w:val="24"/>
          <w:lang w:val="en-US" w:eastAsia="zh-CN" w:bidi="ar"/>
        </w:rPr>
        <w:t>（</w:t>
      </w:r>
      <w:r>
        <w:rPr>
          <w:rFonts w:hint="default" w:ascii="Calibri" w:hAnsi="Calibri" w:eastAsia="宋体" w:cs="Times New Roman"/>
          <w:color w:val="000000"/>
          <w:kern w:val="2"/>
          <w:sz w:val="21"/>
          <w:szCs w:val="24"/>
          <w:lang w:val="en-US" w:eastAsia="zh-CN" w:bidi="ar"/>
        </w:rPr>
        <w:t>2</w:t>
      </w:r>
      <w:r>
        <w:rPr>
          <w:rFonts w:hint="eastAsia" w:ascii="Calibri" w:hAnsi="Calibri" w:eastAsia="宋体" w:cs="宋体"/>
          <w:color w:val="000000"/>
          <w:kern w:val="2"/>
          <w:sz w:val="21"/>
          <w:szCs w:val="24"/>
          <w:lang w:val="en-US" w:eastAsia="zh-CN" w:bidi="ar"/>
        </w:rPr>
        <w:t>）车辆管理</w:t>
      </w:r>
      <w:r>
        <w:rPr>
          <w:rFonts w:hint="default" w:ascii="Calibri" w:hAnsi="Calibri" w:eastAsia="宋体" w:cs="Times New Roman"/>
          <w:color w:val="000000"/>
          <w:kern w:val="2"/>
          <w:sz w:val="21"/>
          <w:szCs w:val="24"/>
          <w:lang w:val="en-US" w:eastAsia="zh-CN" w:bidi="ar"/>
        </w:rPr>
        <w:t>20</w:t>
      </w:r>
      <w:r>
        <w:rPr>
          <w:rFonts w:hint="eastAsia" w:ascii="Calibri" w:hAnsi="Calibri" w:eastAsia="宋体" w:cs="宋体"/>
          <w:color w:val="000000"/>
          <w:kern w:val="2"/>
          <w:sz w:val="21"/>
          <w:szCs w:val="24"/>
          <w:lang w:val="en-US" w:eastAsia="zh-CN" w:bidi="ar"/>
        </w:rPr>
        <w:t>分；</w:t>
      </w:r>
    </w:p>
    <w:p w14:paraId="7064DFA0">
      <w:pPr>
        <w:keepNext w:val="0"/>
        <w:keepLines w:val="0"/>
        <w:widowControl w:val="0"/>
        <w:suppressLineNumbers w:val="0"/>
        <w:spacing w:before="0" w:beforeAutospacing="0" w:after="160" w:afterAutospacing="0" w:line="276" w:lineRule="auto"/>
        <w:ind w:left="0" w:right="0" w:firstLine="420"/>
        <w:jc w:val="both"/>
        <w:rPr>
          <w:color w:val="000000"/>
          <w:lang w:val="en-US"/>
        </w:rPr>
      </w:pPr>
      <w:r>
        <w:rPr>
          <w:rFonts w:hint="eastAsia" w:ascii="Calibri" w:hAnsi="Calibri" w:eastAsia="宋体" w:cs="宋体"/>
          <w:color w:val="000000"/>
          <w:kern w:val="2"/>
          <w:sz w:val="21"/>
          <w:szCs w:val="24"/>
          <w:lang w:val="en-US" w:eastAsia="zh-CN" w:bidi="ar"/>
        </w:rPr>
        <w:t>（</w:t>
      </w:r>
      <w:r>
        <w:rPr>
          <w:rFonts w:hint="default" w:ascii="Calibri" w:hAnsi="Calibri" w:eastAsia="宋体" w:cs="Times New Roman"/>
          <w:color w:val="000000"/>
          <w:kern w:val="2"/>
          <w:sz w:val="21"/>
          <w:szCs w:val="24"/>
          <w:lang w:val="en-US" w:eastAsia="zh-CN" w:bidi="ar"/>
        </w:rPr>
        <w:t>3</w:t>
      </w:r>
      <w:r>
        <w:rPr>
          <w:rFonts w:hint="eastAsia" w:ascii="Calibri" w:hAnsi="Calibri" w:eastAsia="宋体" w:cs="宋体"/>
          <w:color w:val="000000"/>
          <w:kern w:val="2"/>
          <w:sz w:val="21"/>
          <w:szCs w:val="24"/>
          <w:lang w:val="en-US" w:eastAsia="zh-CN" w:bidi="ar"/>
        </w:rPr>
        <w:t>）消防安全管理</w:t>
      </w:r>
      <w:r>
        <w:rPr>
          <w:rFonts w:hint="default" w:ascii="Calibri" w:hAnsi="Calibri" w:eastAsia="宋体" w:cs="Times New Roman"/>
          <w:color w:val="000000"/>
          <w:kern w:val="2"/>
          <w:sz w:val="21"/>
          <w:szCs w:val="24"/>
          <w:lang w:val="en-US" w:eastAsia="zh-CN" w:bidi="ar"/>
        </w:rPr>
        <w:t>40</w:t>
      </w:r>
      <w:r>
        <w:rPr>
          <w:rFonts w:hint="eastAsia" w:ascii="Calibri" w:hAnsi="Calibri" w:eastAsia="宋体" w:cs="宋体"/>
          <w:color w:val="000000"/>
          <w:kern w:val="2"/>
          <w:sz w:val="21"/>
          <w:szCs w:val="24"/>
          <w:lang w:val="en-US" w:eastAsia="zh-CN" w:bidi="ar"/>
        </w:rPr>
        <w:t>分；</w:t>
      </w:r>
    </w:p>
    <w:p w14:paraId="38F03DC7">
      <w:pPr>
        <w:keepNext w:val="0"/>
        <w:keepLines w:val="0"/>
        <w:widowControl w:val="0"/>
        <w:suppressLineNumbers w:val="0"/>
        <w:spacing w:before="0" w:beforeAutospacing="0" w:after="160" w:afterAutospacing="0" w:line="276" w:lineRule="auto"/>
        <w:ind w:left="0" w:right="0" w:firstLine="420"/>
        <w:jc w:val="both"/>
        <w:rPr>
          <w:color w:val="000000"/>
          <w:lang w:val="en-US"/>
        </w:rPr>
      </w:pPr>
      <w:r>
        <w:rPr>
          <w:rFonts w:hint="eastAsia" w:ascii="Calibri" w:hAnsi="Calibri" w:eastAsia="宋体" w:cs="宋体"/>
          <w:color w:val="000000"/>
          <w:kern w:val="2"/>
          <w:sz w:val="21"/>
          <w:szCs w:val="24"/>
          <w:lang w:val="en-US" w:eastAsia="zh-CN" w:bidi="ar"/>
        </w:rPr>
        <w:t>（</w:t>
      </w:r>
      <w:r>
        <w:rPr>
          <w:rFonts w:hint="default" w:ascii="Calibri" w:hAnsi="Calibri" w:eastAsia="宋体" w:cs="Times New Roman"/>
          <w:color w:val="000000"/>
          <w:kern w:val="2"/>
          <w:sz w:val="21"/>
          <w:szCs w:val="24"/>
          <w:lang w:val="en-US" w:eastAsia="zh-CN" w:bidi="ar"/>
        </w:rPr>
        <w:t>4</w:t>
      </w:r>
      <w:r>
        <w:rPr>
          <w:rFonts w:hint="eastAsia" w:ascii="Calibri" w:hAnsi="Calibri" w:eastAsia="宋体" w:cs="宋体"/>
          <w:color w:val="000000"/>
          <w:kern w:val="2"/>
          <w:sz w:val="21"/>
          <w:szCs w:val="24"/>
          <w:lang w:val="en-US" w:eastAsia="zh-CN" w:bidi="ar"/>
        </w:rPr>
        <w:t>）其他管理</w:t>
      </w:r>
      <w:r>
        <w:rPr>
          <w:rFonts w:hint="default" w:ascii="Calibri" w:hAnsi="Calibri" w:eastAsia="宋体" w:cs="Times New Roman"/>
          <w:color w:val="000000"/>
          <w:kern w:val="2"/>
          <w:sz w:val="21"/>
          <w:szCs w:val="24"/>
          <w:lang w:val="en-US" w:eastAsia="zh-CN" w:bidi="ar"/>
        </w:rPr>
        <w:t>5</w:t>
      </w:r>
      <w:r>
        <w:rPr>
          <w:rFonts w:hint="eastAsia" w:ascii="Calibri" w:hAnsi="Calibri" w:eastAsia="宋体" w:cs="宋体"/>
          <w:color w:val="000000"/>
          <w:kern w:val="2"/>
          <w:sz w:val="21"/>
          <w:szCs w:val="24"/>
          <w:lang w:val="en-US" w:eastAsia="zh-CN" w:bidi="ar"/>
        </w:rPr>
        <w:t>分；</w:t>
      </w:r>
    </w:p>
    <w:p w14:paraId="6D1E8B68">
      <w:pPr>
        <w:keepNext w:val="0"/>
        <w:keepLines w:val="0"/>
        <w:widowControl w:val="0"/>
        <w:suppressLineNumbers w:val="0"/>
        <w:spacing w:before="0" w:beforeAutospacing="0" w:after="160" w:afterAutospacing="0" w:line="276" w:lineRule="auto"/>
        <w:ind w:left="0" w:right="0" w:firstLine="420"/>
        <w:jc w:val="both"/>
        <w:rPr>
          <w:color w:val="000000"/>
          <w:lang w:val="en-US"/>
        </w:rPr>
      </w:pPr>
      <w:r>
        <w:rPr>
          <w:rFonts w:hint="default" w:ascii="Calibri" w:hAnsi="Calibri" w:eastAsia="宋体" w:cs="Times New Roman"/>
          <w:color w:val="000000"/>
          <w:kern w:val="2"/>
          <w:sz w:val="21"/>
          <w:szCs w:val="24"/>
          <w:lang w:val="en-US" w:eastAsia="zh-CN" w:bidi="ar"/>
        </w:rPr>
        <w:t xml:space="preserve">3. </w:t>
      </w:r>
      <w:r>
        <w:rPr>
          <w:rFonts w:hint="eastAsia" w:ascii="Calibri" w:hAnsi="Calibri" w:eastAsia="宋体" w:cs="宋体"/>
          <w:color w:val="000000"/>
          <w:kern w:val="2"/>
          <w:sz w:val="21"/>
          <w:szCs w:val="24"/>
          <w:lang w:val="en-US" w:eastAsia="zh-CN" w:bidi="ar"/>
        </w:rPr>
        <w:t>扣分方式</w:t>
      </w:r>
      <w:r>
        <w:rPr>
          <w:rFonts w:hint="default" w:ascii="Calibri" w:hAnsi="Calibri" w:eastAsia="宋体" w:cs="Times New Roman"/>
          <w:color w:val="000000"/>
          <w:kern w:val="2"/>
          <w:sz w:val="21"/>
          <w:szCs w:val="24"/>
          <w:lang w:val="en-US" w:eastAsia="zh-CN" w:bidi="ar"/>
        </w:rPr>
        <w:t xml:space="preserve"> </w:t>
      </w:r>
      <w:r>
        <w:rPr>
          <w:rFonts w:hint="eastAsia" w:ascii="Calibri" w:hAnsi="Calibri" w:eastAsia="宋体" w:cs="宋体"/>
          <w:color w:val="000000"/>
          <w:kern w:val="2"/>
          <w:sz w:val="21"/>
          <w:szCs w:val="24"/>
          <w:lang w:val="en-US" w:eastAsia="zh-CN" w:bidi="ar"/>
        </w:rPr>
        <w:t>。</w:t>
      </w:r>
    </w:p>
    <w:p w14:paraId="24AD7C61">
      <w:pPr>
        <w:keepNext w:val="0"/>
        <w:keepLines w:val="0"/>
        <w:widowControl w:val="0"/>
        <w:suppressLineNumbers w:val="0"/>
        <w:spacing w:before="0" w:beforeAutospacing="0" w:after="160" w:afterAutospacing="0" w:line="276" w:lineRule="auto"/>
        <w:ind w:left="0" w:right="0" w:firstLine="420"/>
        <w:jc w:val="both"/>
        <w:rPr>
          <w:color w:val="000000"/>
          <w:lang w:val="en-US"/>
        </w:rPr>
      </w:pPr>
      <w:r>
        <w:rPr>
          <w:rFonts w:hint="eastAsia" w:ascii="Calibri" w:hAnsi="Calibri" w:eastAsia="宋体" w:cs="宋体"/>
          <w:color w:val="000000"/>
          <w:kern w:val="2"/>
          <w:sz w:val="21"/>
          <w:szCs w:val="24"/>
          <w:lang w:val="en-US" w:eastAsia="zh-CN" w:bidi="ar"/>
        </w:rPr>
        <w:t>（</w:t>
      </w:r>
      <w:r>
        <w:rPr>
          <w:rFonts w:hint="default" w:ascii="Calibri" w:hAnsi="Calibri" w:eastAsia="宋体" w:cs="Times New Roman"/>
          <w:color w:val="000000"/>
          <w:kern w:val="2"/>
          <w:sz w:val="21"/>
          <w:szCs w:val="24"/>
          <w:lang w:val="en-US" w:eastAsia="zh-CN" w:bidi="ar"/>
        </w:rPr>
        <w:t>1</w:t>
      </w:r>
      <w:r>
        <w:rPr>
          <w:rFonts w:hint="eastAsia" w:ascii="Calibri" w:hAnsi="Calibri" w:eastAsia="宋体" w:cs="宋体"/>
          <w:color w:val="000000"/>
          <w:kern w:val="2"/>
          <w:sz w:val="21"/>
          <w:szCs w:val="24"/>
          <w:lang w:val="en-US" w:eastAsia="zh-CN" w:bidi="ar"/>
        </w:rPr>
        <w:t>）当服务质量标准不符合考评细则要求时，即从严扣分；虽有分值，但扣罚不封顶。</w:t>
      </w:r>
    </w:p>
    <w:p w14:paraId="0621113B">
      <w:pPr>
        <w:keepNext w:val="0"/>
        <w:keepLines w:val="0"/>
        <w:widowControl w:val="0"/>
        <w:suppressLineNumbers w:val="0"/>
        <w:spacing w:before="0" w:beforeAutospacing="0" w:after="160" w:afterAutospacing="0" w:line="276" w:lineRule="auto"/>
        <w:ind w:left="0" w:right="0" w:firstLine="420"/>
        <w:jc w:val="both"/>
        <w:rPr>
          <w:color w:val="000000"/>
          <w:lang w:val="en-US"/>
        </w:rPr>
      </w:pPr>
      <w:r>
        <w:rPr>
          <w:rFonts w:hint="eastAsia" w:ascii="Calibri" w:hAnsi="Calibri" w:eastAsia="宋体" w:cs="宋体"/>
          <w:color w:val="000000"/>
          <w:kern w:val="2"/>
          <w:sz w:val="21"/>
          <w:szCs w:val="24"/>
          <w:lang w:val="en-US" w:eastAsia="zh-CN" w:bidi="ar"/>
        </w:rPr>
        <w:t>（</w:t>
      </w:r>
      <w:r>
        <w:rPr>
          <w:rFonts w:hint="default" w:ascii="Calibri" w:hAnsi="Calibri" w:eastAsia="宋体" w:cs="Times New Roman"/>
          <w:color w:val="000000"/>
          <w:kern w:val="2"/>
          <w:sz w:val="21"/>
          <w:szCs w:val="24"/>
          <w:lang w:val="en-US" w:eastAsia="zh-CN" w:bidi="ar"/>
        </w:rPr>
        <w:t>2</w:t>
      </w:r>
      <w:r>
        <w:rPr>
          <w:rFonts w:hint="eastAsia" w:ascii="Calibri" w:hAnsi="Calibri" w:eastAsia="宋体" w:cs="宋体"/>
          <w:color w:val="000000"/>
          <w:kern w:val="2"/>
          <w:sz w:val="21"/>
          <w:szCs w:val="24"/>
          <w:lang w:val="en-US" w:eastAsia="zh-CN" w:bidi="ar"/>
        </w:rPr>
        <w:t>）对重点和关键项目内容的服务质量考评，按定性与定量考核标准执行。</w:t>
      </w:r>
    </w:p>
    <w:p w14:paraId="550978E3">
      <w:pPr>
        <w:keepNext w:val="0"/>
        <w:keepLines w:val="0"/>
        <w:widowControl w:val="0"/>
        <w:suppressLineNumbers w:val="0"/>
        <w:spacing w:before="0" w:beforeAutospacing="0" w:after="160" w:afterAutospacing="0" w:line="276" w:lineRule="auto"/>
        <w:ind w:left="0" w:right="0" w:firstLine="420"/>
        <w:jc w:val="both"/>
        <w:rPr>
          <w:color w:val="000000"/>
          <w:lang w:val="en-US"/>
        </w:rPr>
      </w:pPr>
      <w:r>
        <w:rPr>
          <w:rFonts w:hint="default" w:ascii="Calibri" w:hAnsi="Calibri" w:eastAsia="宋体" w:cs="Times New Roman"/>
          <w:color w:val="000000"/>
          <w:kern w:val="2"/>
          <w:sz w:val="21"/>
          <w:szCs w:val="24"/>
          <w:lang w:val="en-US" w:eastAsia="zh-CN" w:bidi="ar"/>
        </w:rPr>
        <w:t xml:space="preserve">4. </w:t>
      </w:r>
      <w:r>
        <w:rPr>
          <w:rFonts w:hint="eastAsia" w:ascii="Calibri" w:hAnsi="Calibri" w:eastAsia="宋体" w:cs="宋体"/>
          <w:color w:val="000000"/>
          <w:kern w:val="2"/>
          <w:sz w:val="21"/>
          <w:szCs w:val="24"/>
          <w:lang w:val="en-US" w:eastAsia="zh-CN" w:bidi="ar"/>
        </w:rPr>
        <w:t>考评结果的运用。</w:t>
      </w:r>
    </w:p>
    <w:p w14:paraId="752C0FD5">
      <w:pPr>
        <w:keepNext w:val="0"/>
        <w:keepLines w:val="0"/>
        <w:widowControl w:val="0"/>
        <w:suppressLineNumbers w:val="0"/>
        <w:spacing w:before="0" w:beforeAutospacing="0" w:after="160" w:afterAutospacing="0" w:line="276" w:lineRule="auto"/>
        <w:ind w:left="0" w:right="0" w:firstLine="420"/>
        <w:jc w:val="both"/>
        <w:rPr>
          <w:color w:val="000000"/>
          <w:lang w:val="en-US"/>
        </w:rPr>
      </w:pPr>
      <w:r>
        <w:rPr>
          <w:rFonts w:hint="eastAsia" w:ascii="Calibri" w:hAnsi="Calibri" w:eastAsia="宋体" w:cs="宋体"/>
          <w:color w:val="000000"/>
          <w:kern w:val="2"/>
          <w:sz w:val="21"/>
          <w:szCs w:val="24"/>
          <w:lang w:val="en-US" w:eastAsia="zh-CN" w:bidi="ar"/>
        </w:rPr>
        <w:t>（</w:t>
      </w:r>
      <w:r>
        <w:rPr>
          <w:rFonts w:hint="default" w:ascii="Calibri" w:hAnsi="Calibri" w:eastAsia="宋体" w:cs="Times New Roman"/>
          <w:color w:val="000000"/>
          <w:kern w:val="2"/>
          <w:sz w:val="21"/>
          <w:szCs w:val="24"/>
          <w:lang w:val="en-US" w:eastAsia="zh-CN" w:bidi="ar"/>
        </w:rPr>
        <w:t>1</w:t>
      </w:r>
      <w:r>
        <w:rPr>
          <w:rFonts w:hint="eastAsia" w:ascii="Calibri" w:hAnsi="Calibri" w:eastAsia="宋体" w:cs="宋体"/>
          <w:color w:val="000000"/>
          <w:kern w:val="2"/>
          <w:sz w:val="21"/>
          <w:szCs w:val="24"/>
          <w:lang w:val="en-US" w:eastAsia="zh-CN" w:bidi="ar"/>
        </w:rPr>
        <w:t>）大于等于</w:t>
      </w:r>
      <w:r>
        <w:rPr>
          <w:rFonts w:hint="default" w:ascii="Calibri" w:hAnsi="Calibri" w:eastAsia="宋体" w:cs="Times New Roman"/>
          <w:color w:val="000000"/>
          <w:kern w:val="2"/>
          <w:sz w:val="21"/>
          <w:szCs w:val="24"/>
          <w:lang w:val="en-US" w:eastAsia="zh-CN" w:bidi="ar"/>
        </w:rPr>
        <w:t>90</w:t>
      </w:r>
      <w:r>
        <w:rPr>
          <w:rFonts w:hint="eastAsia" w:ascii="Calibri" w:hAnsi="Calibri" w:eastAsia="宋体" w:cs="宋体"/>
          <w:color w:val="000000"/>
          <w:kern w:val="2"/>
          <w:sz w:val="21"/>
          <w:szCs w:val="24"/>
          <w:lang w:val="en-US" w:eastAsia="zh-CN" w:bidi="ar"/>
        </w:rPr>
        <w:t>分，不扣罚当月服务费用；</w:t>
      </w:r>
    </w:p>
    <w:p w14:paraId="3601C929">
      <w:pPr>
        <w:keepNext w:val="0"/>
        <w:keepLines w:val="0"/>
        <w:widowControl w:val="0"/>
        <w:suppressLineNumbers w:val="0"/>
        <w:spacing w:before="0" w:beforeAutospacing="0" w:after="160" w:afterAutospacing="0" w:line="276" w:lineRule="auto"/>
        <w:ind w:left="0" w:right="0" w:firstLine="420"/>
        <w:jc w:val="both"/>
        <w:rPr>
          <w:color w:val="000000"/>
          <w:lang w:val="en-US"/>
        </w:rPr>
      </w:pPr>
      <w:r>
        <w:rPr>
          <w:rFonts w:hint="eastAsia" w:ascii="Calibri" w:hAnsi="Calibri" w:eastAsia="宋体" w:cs="宋体"/>
          <w:color w:val="000000"/>
          <w:kern w:val="2"/>
          <w:sz w:val="21"/>
          <w:szCs w:val="24"/>
          <w:lang w:val="en-US" w:eastAsia="zh-CN" w:bidi="ar"/>
        </w:rPr>
        <w:t>（</w:t>
      </w:r>
      <w:r>
        <w:rPr>
          <w:rFonts w:hint="default" w:ascii="Calibri" w:hAnsi="Calibri" w:eastAsia="宋体" w:cs="Times New Roman"/>
          <w:color w:val="000000"/>
          <w:kern w:val="2"/>
          <w:sz w:val="21"/>
          <w:szCs w:val="24"/>
          <w:lang w:val="en-US" w:eastAsia="zh-CN" w:bidi="ar"/>
        </w:rPr>
        <w:t>2</w:t>
      </w:r>
      <w:r>
        <w:rPr>
          <w:rFonts w:hint="eastAsia" w:ascii="Calibri" w:hAnsi="Calibri" w:eastAsia="宋体" w:cs="宋体"/>
          <w:color w:val="000000"/>
          <w:kern w:val="2"/>
          <w:sz w:val="21"/>
          <w:szCs w:val="24"/>
          <w:lang w:val="en-US" w:eastAsia="zh-CN" w:bidi="ar"/>
        </w:rPr>
        <w:t>）低于</w:t>
      </w:r>
      <w:r>
        <w:rPr>
          <w:rFonts w:hint="default" w:ascii="Calibri" w:hAnsi="Calibri" w:eastAsia="宋体" w:cs="Times New Roman"/>
          <w:color w:val="000000"/>
          <w:kern w:val="2"/>
          <w:sz w:val="21"/>
          <w:szCs w:val="24"/>
          <w:lang w:val="en-US" w:eastAsia="zh-CN" w:bidi="ar"/>
        </w:rPr>
        <w:t>90</w:t>
      </w:r>
      <w:r>
        <w:rPr>
          <w:rFonts w:hint="eastAsia" w:ascii="Calibri" w:hAnsi="Calibri" w:eastAsia="宋体" w:cs="宋体"/>
          <w:color w:val="000000"/>
          <w:kern w:val="2"/>
          <w:sz w:val="21"/>
          <w:szCs w:val="24"/>
          <w:lang w:val="en-US" w:eastAsia="zh-CN" w:bidi="ar"/>
        </w:rPr>
        <w:t>分，每扣</w:t>
      </w:r>
      <w:r>
        <w:rPr>
          <w:rFonts w:hint="default" w:ascii="Calibri" w:hAnsi="Calibri" w:eastAsia="宋体" w:cs="Times New Roman"/>
          <w:color w:val="000000"/>
          <w:kern w:val="2"/>
          <w:sz w:val="21"/>
          <w:szCs w:val="24"/>
          <w:lang w:val="en-US" w:eastAsia="zh-CN" w:bidi="ar"/>
        </w:rPr>
        <w:t>1</w:t>
      </w:r>
      <w:r>
        <w:rPr>
          <w:rFonts w:hint="eastAsia" w:ascii="Calibri" w:hAnsi="Calibri" w:eastAsia="宋体" w:cs="宋体"/>
          <w:color w:val="000000"/>
          <w:kern w:val="2"/>
          <w:sz w:val="21"/>
          <w:szCs w:val="24"/>
          <w:lang w:val="en-US" w:eastAsia="zh-CN" w:bidi="ar"/>
        </w:rPr>
        <w:t>分对应扣罚当月服务费</w:t>
      </w:r>
      <w:r>
        <w:rPr>
          <w:rFonts w:hint="default" w:ascii="Calibri" w:hAnsi="Calibri" w:eastAsia="宋体" w:cs="Times New Roman"/>
          <w:color w:val="000000"/>
          <w:kern w:val="2"/>
          <w:sz w:val="21"/>
          <w:szCs w:val="24"/>
          <w:lang w:val="en-US" w:eastAsia="zh-CN" w:bidi="ar"/>
        </w:rPr>
        <w:t>500</w:t>
      </w:r>
      <w:r>
        <w:rPr>
          <w:rFonts w:hint="eastAsia" w:ascii="Calibri" w:hAnsi="Calibri" w:eastAsia="宋体" w:cs="宋体"/>
          <w:color w:val="000000"/>
          <w:kern w:val="2"/>
          <w:sz w:val="21"/>
          <w:szCs w:val="24"/>
          <w:lang w:val="en-US" w:eastAsia="zh-CN" w:bidi="ar"/>
        </w:rPr>
        <w:t>元；列举：某月得分</w:t>
      </w:r>
      <w:r>
        <w:rPr>
          <w:rFonts w:hint="default" w:ascii="Calibri" w:hAnsi="Calibri" w:eastAsia="宋体" w:cs="Times New Roman"/>
          <w:color w:val="000000"/>
          <w:kern w:val="2"/>
          <w:sz w:val="21"/>
          <w:szCs w:val="24"/>
          <w:lang w:val="en-US" w:eastAsia="zh-CN" w:bidi="ar"/>
        </w:rPr>
        <w:t>89</w:t>
      </w:r>
      <w:r>
        <w:rPr>
          <w:rFonts w:hint="eastAsia" w:ascii="Calibri" w:hAnsi="Calibri" w:eastAsia="宋体" w:cs="宋体"/>
          <w:color w:val="000000"/>
          <w:kern w:val="2"/>
          <w:sz w:val="21"/>
          <w:szCs w:val="24"/>
          <w:lang w:val="en-US" w:eastAsia="zh-CN" w:bidi="ar"/>
        </w:rPr>
        <w:t>分，扣罚</w:t>
      </w:r>
      <w:r>
        <w:rPr>
          <w:rFonts w:hint="default" w:ascii="Calibri" w:hAnsi="Calibri" w:eastAsia="宋体" w:cs="Times New Roman"/>
          <w:color w:val="000000"/>
          <w:kern w:val="2"/>
          <w:sz w:val="21"/>
          <w:szCs w:val="24"/>
          <w:lang w:val="en-US" w:eastAsia="zh-CN" w:bidi="ar"/>
        </w:rPr>
        <w:t>500</w:t>
      </w:r>
      <w:r>
        <w:rPr>
          <w:rFonts w:hint="eastAsia" w:ascii="Calibri" w:hAnsi="Calibri" w:eastAsia="宋体" w:cs="宋体"/>
          <w:color w:val="000000"/>
          <w:kern w:val="2"/>
          <w:sz w:val="21"/>
          <w:szCs w:val="24"/>
          <w:lang w:val="en-US" w:eastAsia="zh-CN" w:bidi="ar"/>
        </w:rPr>
        <w:t>元×（</w:t>
      </w:r>
      <w:r>
        <w:rPr>
          <w:rFonts w:hint="default" w:ascii="Calibri" w:hAnsi="Calibri" w:eastAsia="宋体" w:cs="Times New Roman"/>
          <w:color w:val="000000"/>
          <w:kern w:val="2"/>
          <w:sz w:val="21"/>
          <w:szCs w:val="24"/>
          <w:lang w:val="en-US" w:eastAsia="zh-CN" w:bidi="ar"/>
        </w:rPr>
        <w:t>90</w:t>
      </w:r>
      <w:r>
        <w:rPr>
          <w:rFonts w:hint="eastAsia" w:ascii="Calibri" w:hAnsi="Calibri" w:eastAsia="宋体" w:cs="宋体"/>
          <w:color w:val="000000"/>
          <w:kern w:val="2"/>
          <w:sz w:val="21"/>
          <w:szCs w:val="24"/>
          <w:lang w:val="en-US" w:eastAsia="zh-CN" w:bidi="ar"/>
        </w:rPr>
        <w:t>分－</w:t>
      </w:r>
      <w:r>
        <w:rPr>
          <w:rFonts w:hint="default" w:ascii="Calibri" w:hAnsi="Calibri" w:eastAsia="宋体" w:cs="Times New Roman"/>
          <w:color w:val="000000"/>
          <w:kern w:val="2"/>
          <w:sz w:val="21"/>
          <w:szCs w:val="24"/>
          <w:lang w:val="en-US" w:eastAsia="zh-CN" w:bidi="ar"/>
        </w:rPr>
        <w:t>89</w:t>
      </w:r>
      <w:r>
        <w:rPr>
          <w:rFonts w:hint="eastAsia" w:ascii="Calibri" w:hAnsi="Calibri" w:eastAsia="宋体" w:cs="宋体"/>
          <w:color w:val="000000"/>
          <w:kern w:val="2"/>
          <w:sz w:val="21"/>
          <w:szCs w:val="24"/>
          <w:lang w:val="en-US" w:eastAsia="zh-CN" w:bidi="ar"/>
        </w:rPr>
        <w:t>分）＝</w:t>
      </w:r>
      <w:r>
        <w:rPr>
          <w:rFonts w:hint="default" w:ascii="Calibri" w:hAnsi="Calibri" w:eastAsia="宋体" w:cs="Times New Roman"/>
          <w:color w:val="000000"/>
          <w:kern w:val="2"/>
          <w:sz w:val="21"/>
          <w:szCs w:val="24"/>
          <w:lang w:val="en-US" w:eastAsia="zh-CN" w:bidi="ar"/>
        </w:rPr>
        <w:t>500</w:t>
      </w:r>
      <w:r>
        <w:rPr>
          <w:rFonts w:hint="eastAsia" w:ascii="Calibri" w:hAnsi="Calibri" w:eastAsia="宋体" w:cs="宋体"/>
          <w:color w:val="000000"/>
          <w:kern w:val="2"/>
          <w:sz w:val="21"/>
          <w:szCs w:val="24"/>
          <w:lang w:val="en-US" w:eastAsia="zh-CN" w:bidi="ar"/>
        </w:rPr>
        <w:t>元；</w:t>
      </w:r>
    </w:p>
    <w:p w14:paraId="56EA208B">
      <w:pPr>
        <w:keepNext w:val="0"/>
        <w:keepLines w:val="0"/>
        <w:widowControl w:val="0"/>
        <w:suppressLineNumbers w:val="0"/>
        <w:spacing w:before="0" w:beforeAutospacing="0" w:after="160" w:afterAutospacing="0" w:line="276" w:lineRule="auto"/>
        <w:ind w:left="0" w:right="0" w:firstLine="420"/>
        <w:jc w:val="both"/>
        <w:rPr>
          <w:lang w:val="en-US"/>
        </w:rPr>
      </w:pPr>
      <w:r>
        <w:rPr>
          <w:rFonts w:hint="eastAsia" w:ascii="Calibri" w:hAnsi="Calibri" w:eastAsia="宋体" w:cs="宋体"/>
          <w:color w:val="000000"/>
          <w:kern w:val="2"/>
          <w:sz w:val="21"/>
          <w:szCs w:val="24"/>
          <w:lang w:val="en-US" w:eastAsia="zh-CN" w:bidi="ar"/>
        </w:rPr>
        <w:t>（</w:t>
      </w:r>
      <w:r>
        <w:rPr>
          <w:rFonts w:hint="default" w:ascii="Calibri" w:hAnsi="Calibri" w:eastAsia="宋体" w:cs="Times New Roman"/>
          <w:color w:val="000000"/>
          <w:kern w:val="2"/>
          <w:sz w:val="21"/>
          <w:szCs w:val="24"/>
          <w:lang w:val="en-US" w:eastAsia="zh-CN" w:bidi="ar"/>
        </w:rPr>
        <w:t>3</w:t>
      </w:r>
      <w:r>
        <w:rPr>
          <w:rFonts w:hint="eastAsia" w:ascii="Calibri" w:hAnsi="Calibri" w:eastAsia="宋体" w:cs="宋体"/>
          <w:color w:val="000000"/>
          <w:kern w:val="2"/>
          <w:sz w:val="21"/>
          <w:szCs w:val="24"/>
          <w:lang w:val="en-US" w:eastAsia="zh-CN" w:bidi="ar"/>
        </w:rPr>
        <w:t>）主管部门以书面形式将考评记录内容、整改措施、整改限期通知中标人，并跟踪整改效果，如整改不及时或类似扣分内容反复出现，则加重处罚。</w:t>
      </w:r>
    </w:p>
    <w:p w14:paraId="54EF7488">
      <w:pPr>
        <w:keepNext w:val="0"/>
        <w:keepLines w:val="0"/>
        <w:widowControl w:val="0"/>
        <w:suppressLineNumbers w:val="0"/>
        <w:spacing w:before="0" w:beforeAutospacing="0" w:after="160" w:afterAutospacing="0" w:line="276" w:lineRule="auto"/>
        <w:ind w:left="0" w:right="0"/>
        <w:jc w:val="both"/>
        <w:rPr>
          <w:lang w:val="en-US"/>
        </w:rPr>
      </w:pPr>
    </w:p>
    <w:p w14:paraId="7186AC6F">
      <w:pPr>
        <w:keepNext w:val="0"/>
        <w:keepLines w:val="0"/>
        <w:widowControl w:val="0"/>
        <w:suppressLineNumbers w:val="0"/>
        <w:spacing w:before="0" w:beforeAutospacing="0" w:after="160" w:afterAutospacing="0" w:line="276" w:lineRule="auto"/>
        <w:ind w:left="0" w:right="0" w:firstLine="422"/>
        <w:jc w:val="both"/>
        <w:rPr>
          <w:lang w:val="en-US"/>
        </w:rPr>
      </w:pPr>
      <w:r>
        <w:rPr>
          <w:rFonts w:hint="eastAsia" w:ascii="Calibri" w:hAnsi="Calibri" w:eastAsia="宋体" w:cs="宋体"/>
          <w:b/>
          <w:bCs w:val="0"/>
          <w:color w:val="000000"/>
          <w:kern w:val="2"/>
          <w:sz w:val="21"/>
          <w:szCs w:val="24"/>
          <w:lang w:val="en-US" w:eastAsia="zh-CN" w:bidi="ar"/>
        </w:rPr>
        <w:t>附件</w:t>
      </w:r>
      <w:r>
        <w:rPr>
          <w:rFonts w:hint="default" w:ascii="Calibri" w:hAnsi="Calibri" w:eastAsia="宋体" w:cs="Times New Roman"/>
          <w:b/>
          <w:bCs w:val="0"/>
          <w:color w:val="000000"/>
          <w:kern w:val="2"/>
          <w:sz w:val="21"/>
          <w:szCs w:val="24"/>
          <w:lang w:val="en-US" w:eastAsia="zh-CN" w:bidi="ar"/>
        </w:rPr>
        <w:t>1</w:t>
      </w:r>
      <w:r>
        <w:rPr>
          <w:rFonts w:hint="eastAsia" w:ascii="Calibri" w:hAnsi="Calibri" w:eastAsia="宋体" w:cs="宋体"/>
          <w:b/>
          <w:bCs w:val="0"/>
          <w:color w:val="000000"/>
          <w:kern w:val="2"/>
          <w:sz w:val="21"/>
          <w:szCs w:val="24"/>
          <w:lang w:val="en-US" w:eastAsia="zh-CN" w:bidi="ar"/>
        </w:rPr>
        <w:t>、广州市干部和人才健康管理中心保安服务质量标准与考评细则</w:t>
      </w:r>
    </w:p>
    <w:p w14:paraId="119745F0">
      <w:pPr>
        <w:keepNext w:val="0"/>
        <w:keepLines w:val="0"/>
        <w:widowControl w:val="0"/>
        <w:suppressLineNumbers w:val="0"/>
        <w:spacing w:before="0" w:beforeAutospacing="0" w:after="160" w:afterAutospacing="0" w:line="276" w:lineRule="auto"/>
        <w:ind w:left="0" w:right="0"/>
        <w:jc w:val="both"/>
        <w:rPr>
          <w:lang w:val="en-US"/>
        </w:rPr>
      </w:pPr>
    </w:p>
    <w:tbl>
      <w:tblPr>
        <w:tblStyle w:val="2"/>
        <w:tblW w:w="8522" w:type="dxa"/>
        <w:tblInd w:w="0" w:type="dxa"/>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2674"/>
        <w:gridCol w:w="974"/>
        <w:gridCol w:w="3531"/>
        <w:gridCol w:w="989"/>
        <w:gridCol w:w="354"/>
      </w:tblGrid>
      <w:tr w14:paraId="004BDDCF">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3648" w:type="dxa"/>
            <w:gridSpan w:val="2"/>
            <w:tcBorders>
              <w:top w:val="single" w:color="000000" w:sz="4" w:space="0"/>
              <w:left w:val="single" w:color="000000" w:sz="4" w:space="0"/>
              <w:bottom w:val="single" w:color="000000" w:sz="4" w:space="0"/>
              <w:right w:val="single" w:color="000000" w:sz="4" w:space="0"/>
            </w:tcBorders>
            <w:shd w:val="clear" w:color="auto" w:fill="auto"/>
            <w:vAlign w:val="top"/>
          </w:tcPr>
          <w:p w14:paraId="6D18A79B">
            <w:pPr>
              <w:keepNext w:val="0"/>
              <w:keepLines w:val="0"/>
              <w:widowControl w:val="0"/>
              <w:suppressLineNumbers w:val="0"/>
              <w:spacing w:before="0" w:beforeAutospacing="0" w:after="160" w:afterAutospacing="0" w:line="276" w:lineRule="auto"/>
              <w:ind w:left="0" w:right="0"/>
              <w:jc w:val="center"/>
              <w:rPr>
                <w:rFonts w:hint="default"/>
                <w:lang w:val="en-US"/>
              </w:rPr>
            </w:pPr>
            <w:r>
              <w:rPr>
                <w:rFonts w:hint="eastAsia" w:ascii="Calibri" w:hAnsi="Calibri" w:eastAsia="宋体" w:cs="宋体"/>
                <w:b/>
                <w:bCs w:val="0"/>
                <w:color w:val="000000"/>
                <w:kern w:val="2"/>
                <w:sz w:val="21"/>
                <w:szCs w:val="24"/>
                <w:lang w:val="en-US" w:eastAsia="zh-CN" w:bidi="ar"/>
              </w:rPr>
              <w:t>事项</w:t>
            </w:r>
          </w:p>
        </w:tc>
        <w:tc>
          <w:tcPr>
            <w:tcW w:w="3531" w:type="dxa"/>
            <w:tcBorders>
              <w:top w:val="single" w:color="000000" w:sz="4" w:space="0"/>
              <w:left w:val="nil"/>
              <w:bottom w:val="single" w:color="000000" w:sz="4" w:space="0"/>
              <w:right w:val="single" w:color="000000" w:sz="4" w:space="0"/>
            </w:tcBorders>
            <w:shd w:val="clear" w:color="auto" w:fill="auto"/>
            <w:vAlign w:val="top"/>
          </w:tcPr>
          <w:p w14:paraId="56A91894">
            <w:pPr>
              <w:keepNext w:val="0"/>
              <w:keepLines w:val="0"/>
              <w:widowControl w:val="0"/>
              <w:suppressLineNumbers w:val="0"/>
              <w:spacing w:before="0" w:beforeAutospacing="0" w:after="160" w:afterAutospacing="0" w:line="276" w:lineRule="auto"/>
              <w:ind w:left="0" w:right="0"/>
              <w:jc w:val="center"/>
              <w:rPr>
                <w:rFonts w:hint="default"/>
                <w:lang w:val="en-US"/>
              </w:rPr>
            </w:pPr>
            <w:r>
              <w:rPr>
                <w:rFonts w:hint="eastAsia" w:ascii="Calibri" w:hAnsi="Calibri" w:eastAsia="宋体" w:cs="宋体"/>
                <w:b/>
                <w:bCs w:val="0"/>
                <w:color w:val="000000"/>
                <w:kern w:val="2"/>
                <w:sz w:val="21"/>
                <w:szCs w:val="24"/>
                <w:lang w:val="en-US" w:eastAsia="zh-CN" w:bidi="ar"/>
              </w:rPr>
              <w:t>考评奖罚标准</w:t>
            </w:r>
          </w:p>
        </w:tc>
        <w:tc>
          <w:tcPr>
            <w:tcW w:w="989" w:type="dxa"/>
            <w:tcBorders>
              <w:top w:val="single" w:color="000000" w:sz="4" w:space="0"/>
              <w:left w:val="nil"/>
              <w:bottom w:val="single" w:color="000000" w:sz="4" w:space="0"/>
              <w:right w:val="single" w:color="000000" w:sz="4" w:space="0"/>
            </w:tcBorders>
            <w:shd w:val="clear" w:color="auto" w:fill="auto"/>
            <w:vAlign w:val="top"/>
          </w:tcPr>
          <w:p w14:paraId="1C4C0CC1">
            <w:pPr>
              <w:keepNext w:val="0"/>
              <w:keepLines w:val="0"/>
              <w:widowControl w:val="0"/>
              <w:suppressLineNumbers w:val="0"/>
              <w:spacing w:before="0" w:beforeAutospacing="0" w:after="160" w:afterAutospacing="0" w:line="276" w:lineRule="auto"/>
              <w:ind w:left="0" w:right="0"/>
              <w:jc w:val="center"/>
              <w:rPr>
                <w:rFonts w:hint="default"/>
                <w:lang w:val="en-US"/>
              </w:rPr>
            </w:pPr>
            <w:r>
              <w:rPr>
                <w:rFonts w:hint="eastAsia" w:ascii="Calibri" w:hAnsi="Calibri" w:eastAsia="宋体" w:cs="宋体"/>
                <w:b/>
                <w:bCs w:val="0"/>
                <w:color w:val="000000"/>
                <w:kern w:val="2"/>
                <w:sz w:val="21"/>
                <w:szCs w:val="24"/>
                <w:lang w:val="en-US" w:eastAsia="zh-CN" w:bidi="ar"/>
              </w:rPr>
              <w:t>考核情况</w:t>
            </w:r>
          </w:p>
        </w:tc>
        <w:tc>
          <w:tcPr>
            <w:tcW w:w="354" w:type="dxa"/>
            <w:tcBorders>
              <w:top w:val="nil"/>
              <w:left w:val="nil"/>
              <w:bottom w:val="nil"/>
              <w:right w:val="nil"/>
            </w:tcBorders>
            <w:shd w:val="clear" w:color="auto" w:fill="auto"/>
            <w:vAlign w:val="top"/>
          </w:tcPr>
          <w:p w14:paraId="5315EC18">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7D04630C">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7179" w:type="dxa"/>
            <w:gridSpan w:val="3"/>
            <w:tcBorders>
              <w:top w:val="nil"/>
              <w:left w:val="single" w:color="000000" w:sz="4" w:space="0"/>
              <w:bottom w:val="single" w:color="000000" w:sz="4" w:space="0"/>
              <w:right w:val="single" w:color="000000" w:sz="4" w:space="0"/>
            </w:tcBorders>
            <w:shd w:val="clear" w:color="auto" w:fill="auto"/>
            <w:vAlign w:val="top"/>
          </w:tcPr>
          <w:p w14:paraId="50C80549">
            <w:pPr>
              <w:keepNext w:val="0"/>
              <w:keepLines w:val="0"/>
              <w:widowControl w:val="0"/>
              <w:suppressLineNumbers w:val="0"/>
              <w:spacing w:before="0" w:beforeAutospacing="0" w:after="160" w:afterAutospacing="0" w:line="276" w:lineRule="auto"/>
              <w:ind w:left="0" w:right="0"/>
              <w:jc w:val="center"/>
              <w:rPr>
                <w:rFonts w:hint="default"/>
                <w:lang w:val="en-US"/>
              </w:rPr>
            </w:pPr>
            <w:r>
              <w:rPr>
                <w:rFonts w:hint="eastAsia" w:ascii="Calibri" w:hAnsi="Calibri" w:eastAsia="宋体" w:cs="宋体"/>
                <w:color w:val="000000"/>
                <w:kern w:val="2"/>
                <w:sz w:val="21"/>
                <w:szCs w:val="24"/>
                <w:lang w:val="en-US" w:eastAsia="zh-CN" w:bidi="ar"/>
              </w:rPr>
              <w:t>治安管理（</w:t>
            </w:r>
            <w:r>
              <w:rPr>
                <w:rFonts w:hint="default" w:ascii="Calibri" w:hAnsi="Calibri" w:eastAsia="宋体" w:cs="Times New Roman"/>
                <w:color w:val="000000"/>
                <w:kern w:val="2"/>
                <w:sz w:val="21"/>
                <w:szCs w:val="24"/>
                <w:lang w:val="en-US" w:eastAsia="zh-CN" w:bidi="ar"/>
              </w:rPr>
              <w:t>35</w:t>
            </w:r>
            <w:r>
              <w:rPr>
                <w:rFonts w:hint="eastAsia" w:ascii="Calibri" w:hAnsi="Calibri" w:eastAsia="宋体" w:cs="宋体"/>
                <w:color w:val="000000"/>
                <w:kern w:val="2"/>
                <w:sz w:val="21"/>
                <w:szCs w:val="24"/>
                <w:lang w:val="en-US" w:eastAsia="zh-CN" w:bidi="ar"/>
              </w:rPr>
              <w:t>分）</w:t>
            </w:r>
          </w:p>
        </w:tc>
        <w:tc>
          <w:tcPr>
            <w:tcW w:w="989" w:type="dxa"/>
            <w:tcBorders>
              <w:top w:val="nil"/>
              <w:left w:val="nil"/>
              <w:bottom w:val="single" w:color="000000" w:sz="4" w:space="0"/>
              <w:right w:val="single" w:color="000000" w:sz="4" w:space="0"/>
            </w:tcBorders>
            <w:shd w:val="clear" w:color="auto" w:fill="auto"/>
            <w:vAlign w:val="top"/>
          </w:tcPr>
          <w:p w14:paraId="05DBC3BC">
            <w:pPr>
              <w:keepNext w:val="0"/>
              <w:keepLines w:val="0"/>
              <w:widowControl w:val="0"/>
              <w:suppressLineNumbers w:val="0"/>
              <w:spacing w:before="0" w:beforeAutospacing="0" w:after="160" w:afterAutospacing="0" w:line="276" w:lineRule="auto"/>
              <w:ind w:left="0" w:right="0" w:firstLine="420"/>
              <w:jc w:val="both"/>
              <w:rPr>
                <w:rFonts w:hint="default"/>
                <w:lang w:val="en-US"/>
              </w:rPr>
            </w:pPr>
            <w:r>
              <w:rPr>
                <w:rFonts w:hint="eastAsia" w:ascii="Calibri" w:hAnsi="Calibri" w:eastAsia="宋体" w:cs="宋体"/>
                <w:kern w:val="2"/>
                <w:sz w:val="21"/>
                <w:szCs w:val="24"/>
                <w:lang w:val="en-US" w:eastAsia="zh-CN" w:bidi="ar"/>
              </w:rPr>
              <w:t>　</w:t>
            </w:r>
          </w:p>
        </w:tc>
        <w:tc>
          <w:tcPr>
            <w:tcW w:w="354" w:type="dxa"/>
            <w:tcBorders>
              <w:top w:val="nil"/>
              <w:left w:val="nil"/>
              <w:bottom w:val="nil"/>
              <w:right w:val="nil"/>
            </w:tcBorders>
            <w:shd w:val="clear" w:color="auto" w:fill="auto"/>
            <w:vAlign w:val="top"/>
          </w:tcPr>
          <w:p w14:paraId="2793DB90">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1A52343C">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3648" w:type="dxa"/>
            <w:gridSpan w:val="2"/>
            <w:tcBorders>
              <w:top w:val="nil"/>
              <w:left w:val="single" w:color="000000" w:sz="4" w:space="0"/>
              <w:bottom w:val="single" w:color="000000" w:sz="4" w:space="0"/>
              <w:right w:val="single" w:color="000000" w:sz="4" w:space="0"/>
            </w:tcBorders>
            <w:shd w:val="clear" w:color="auto" w:fill="auto"/>
            <w:vAlign w:val="top"/>
          </w:tcPr>
          <w:p w14:paraId="628BB81F">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eastAsia" w:ascii="Calibri" w:hAnsi="Calibri" w:eastAsia="宋体" w:cs="宋体"/>
                <w:color w:val="000000"/>
                <w:kern w:val="2"/>
                <w:sz w:val="21"/>
                <w:szCs w:val="24"/>
                <w:lang w:val="en-US" w:eastAsia="zh-CN" w:bidi="ar"/>
              </w:rPr>
              <w:t>（</w:t>
            </w:r>
            <w:r>
              <w:rPr>
                <w:rFonts w:hint="default" w:ascii="Calibri" w:hAnsi="Calibri" w:eastAsia="宋体" w:cs="Times New Roman"/>
                <w:color w:val="000000"/>
                <w:kern w:val="2"/>
                <w:sz w:val="21"/>
                <w:szCs w:val="24"/>
                <w:lang w:val="en-US" w:eastAsia="zh-CN" w:bidi="ar"/>
              </w:rPr>
              <w:t>1</w:t>
            </w:r>
            <w:r>
              <w:rPr>
                <w:rFonts w:hint="eastAsia" w:ascii="Calibri" w:hAnsi="Calibri" w:eastAsia="宋体" w:cs="宋体"/>
                <w:color w:val="000000"/>
                <w:kern w:val="2"/>
                <w:sz w:val="21"/>
                <w:szCs w:val="24"/>
                <w:lang w:val="en-US" w:eastAsia="zh-CN" w:bidi="ar"/>
              </w:rPr>
              <w:t>）根据中心特点制定岗位职责、管理制度与安防措施；落实持证上岗要求；服务人员必须按规定着装和佩戴装备，文明执勤；认真进行交接班登记及重大事件报告与记录。</w:t>
            </w:r>
          </w:p>
        </w:tc>
        <w:tc>
          <w:tcPr>
            <w:tcW w:w="3531" w:type="dxa"/>
            <w:tcBorders>
              <w:top w:val="nil"/>
              <w:left w:val="nil"/>
              <w:bottom w:val="single" w:color="000000" w:sz="4" w:space="0"/>
              <w:right w:val="single" w:color="000000" w:sz="4" w:space="0"/>
            </w:tcBorders>
            <w:shd w:val="clear" w:color="auto" w:fill="auto"/>
            <w:vAlign w:val="top"/>
          </w:tcPr>
          <w:p w14:paraId="1A11B145">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eastAsia" w:ascii="Calibri" w:hAnsi="Calibri" w:eastAsia="宋体" w:cs="宋体"/>
                <w:color w:val="000000"/>
                <w:kern w:val="2"/>
                <w:sz w:val="21"/>
                <w:szCs w:val="24"/>
                <w:lang w:val="en-US" w:eastAsia="zh-CN" w:bidi="ar"/>
              </w:rPr>
              <w:t>各项制度、措施不健全每项扣</w:t>
            </w:r>
            <w:r>
              <w:rPr>
                <w:rFonts w:hint="default" w:ascii="Calibri" w:hAnsi="Calibri" w:eastAsia="宋体" w:cs="Times New Roman"/>
                <w:color w:val="000000"/>
                <w:kern w:val="2"/>
                <w:sz w:val="21"/>
                <w:szCs w:val="24"/>
                <w:lang w:val="en-US" w:eastAsia="zh-CN" w:bidi="ar"/>
              </w:rPr>
              <w:t>0.5</w:t>
            </w:r>
            <w:r>
              <w:rPr>
                <w:rFonts w:hint="eastAsia" w:ascii="Calibri" w:hAnsi="Calibri" w:eastAsia="宋体" w:cs="宋体"/>
                <w:color w:val="000000"/>
                <w:kern w:val="2"/>
                <w:sz w:val="21"/>
                <w:szCs w:val="24"/>
                <w:lang w:val="en-US" w:eastAsia="zh-CN" w:bidi="ar"/>
              </w:rPr>
              <w:t>分；无上岗证每人次扣</w:t>
            </w:r>
            <w:r>
              <w:rPr>
                <w:rFonts w:hint="default" w:ascii="Calibri" w:hAnsi="Calibri" w:eastAsia="宋体" w:cs="Times New Roman"/>
                <w:color w:val="000000"/>
                <w:kern w:val="2"/>
                <w:sz w:val="21"/>
                <w:szCs w:val="24"/>
                <w:lang w:val="en-US" w:eastAsia="zh-CN" w:bidi="ar"/>
              </w:rPr>
              <w:t>0.2</w:t>
            </w:r>
            <w:r>
              <w:rPr>
                <w:rFonts w:hint="eastAsia" w:ascii="Calibri" w:hAnsi="Calibri" w:eastAsia="宋体" w:cs="宋体"/>
                <w:color w:val="000000"/>
                <w:kern w:val="2"/>
                <w:sz w:val="21"/>
                <w:szCs w:val="24"/>
                <w:lang w:val="en-US" w:eastAsia="zh-CN" w:bidi="ar"/>
              </w:rPr>
              <w:t>分；着装不整、不文明值班每人次扣</w:t>
            </w:r>
            <w:r>
              <w:rPr>
                <w:rFonts w:hint="default" w:ascii="Calibri" w:hAnsi="Calibri" w:eastAsia="宋体" w:cs="Times New Roman"/>
                <w:color w:val="000000"/>
                <w:kern w:val="2"/>
                <w:sz w:val="21"/>
                <w:szCs w:val="24"/>
                <w:lang w:val="en-US" w:eastAsia="zh-CN" w:bidi="ar"/>
              </w:rPr>
              <w:t>0.2</w:t>
            </w:r>
            <w:r>
              <w:rPr>
                <w:rFonts w:hint="eastAsia" w:ascii="Calibri" w:hAnsi="Calibri" w:eastAsia="宋体" w:cs="宋体"/>
                <w:color w:val="000000"/>
                <w:kern w:val="2"/>
                <w:sz w:val="21"/>
                <w:szCs w:val="24"/>
                <w:lang w:val="en-US" w:eastAsia="zh-CN" w:bidi="ar"/>
              </w:rPr>
              <w:t>分；值班记录不全每次扣</w:t>
            </w:r>
            <w:r>
              <w:rPr>
                <w:rFonts w:hint="default" w:ascii="Calibri" w:hAnsi="Calibri" w:eastAsia="宋体" w:cs="Times New Roman"/>
                <w:color w:val="000000"/>
                <w:kern w:val="2"/>
                <w:sz w:val="21"/>
                <w:szCs w:val="24"/>
                <w:lang w:val="en-US" w:eastAsia="zh-CN" w:bidi="ar"/>
              </w:rPr>
              <w:t>0.2</w:t>
            </w:r>
            <w:r>
              <w:rPr>
                <w:rFonts w:hint="eastAsia" w:ascii="Calibri" w:hAnsi="Calibri" w:eastAsia="宋体" w:cs="宋体"/>
                <w:color w:val="000000"/>
                <w:kern w:val="2"/>
                <w:sz w:val="21"/>
                <w:szCs w:val="24"/>
                <w:lang w:val="en-US" w:eastAsia="zh-CN" w:bidi="ar"/>
              </w:rPr>
              <w:t>分。使用不符合要求的人员每人每项扣</w:t>
            </w:r>
            <w:r>
              <w:rPr>
                <w:rFonts w:hint="default" w:ascii="Calibri" w:hAnsi="Calibri" w:eastAsia="宋体" w:cs="Times New Roman"/>
                <w:color w:val="000000"/>
                <w:kern w:val="2"/>
                <w:sz w:val="21"/>
                <w:szCs w:val="24"/>
                <w:lang w:val="en-US" w:eastAsia="zh-CN" w:bidi="ar"/>
              </w:rPr>
              <w:t>0.5</w:t>
            </w:r>
            <w:r>
              <w:rPr>
                <w:rFonts w:hint="eastAsia" w:ascii="Calibri" w:hAnsi="Calibri" w:eastAsia="宋体" w:cs="宋体"/>
                <w:color w:val="000000"/>
                <w:kern w:val="2"/>
                <w:sz w:val="21"/>
                <w:szCs w:val="24"/>
                <w:lang w:val="en-US" w:eastAsia="zh-CN" w:bidi="ar"/>
              </w:rPr>
              <w:t>分。有效投诉每件次视情节扣</w:t>
            </w:r>
            <w:r>
              <w:rPr>
                <w:rFonts w:hint="default" w:ascii="Calibri" w:hAnsi="Calibri" w:eastAsia="宋体" w:cs="Times New Roman"/>
                <w:color w:val="000000"/>
                <w:kern w:val="2"/>
                <w:sz w:val="21"/>
                <w:szCs w:val="24"/>
                <w:lang w:val="en-US" w:eastAsia="zh-CN" w:bidi="ar"/>
              </w:rPr>
              <w:t>0.5</w:t>
            </w:r>
            <w:r>
              <w:rPr>
                <w:rFonts w:hint="eastAsia" w:ascii="Calibri" w:hAnsi="Calibri" w:eastAsia="宋体" w:cs="宋体"/>
                <w:color w:val="000000"/>
                <w:kern w:val="2"/>
                <w:sz w:val="21"/>
                <w:szCs w:val="24"/>
                <w:lang w:val="en-US" w:eastAsia="zh-CN" w:bidi="ar"/>
              </w:rPr>
              <w:t>—</w:t>
            </w:r>
            <w:r>
              <w:rPr>
                <w:rFonts w:hint="default" w:ascii="Calibri" w:hAnsi="Calibri" w:eastAsia="宋体" w:cs="Times New Roman"/>
                <w:color w:val="000000"/>
                <w:kern w:val="2"/>
                <w:sz w:val="21"/>
                <w:szCs w:val="24"/>
                <w:lang w:val="en-US" w:eastAsia="zh-CN" w:bidi="ar"/>
              </w:rPr>
              <w:t>3</w:t>
            </w:r>
            <w:r>
              <w:rPr>
                <w:rFonts w:hint="eastAsia" w:ascii="Calibri" w:hAnsi="Calibri" w:eastAsia="宋体" w:cs="宋体"/>
                <w:color w:val="000000"/>
                <w:kern w:val="2"/>
                <w:sz w:val="21"/>
                <w:szCs w:val="24"/>
                <w:lang w:val="en-US" w:eastAsia="zh-CN" w:bidi="ar"/>
              </w:rPr>
              <w:t>分。因保管不善致装备器材损坏或丢失须照价赔偿并扣</w:t>
            </w:r>
            <w:r>
              <w:rPr>
                <w:rFonts w:hint="default" w:ascii="Calibri" w:hAnsi="Calibri" w:eastAsia="宋体" w:cs="Times New Roman"/>
                <w:color w:val="000000"/>
                <w:kern w:val="2"/>
                <w:sz w:val="21"/>
                <w:szCs w:val="24"/>
                <w:lang w:val="en-US" w:eastAsia="zh-CN" w:bidi="ar"/>
              </w:rPr>
              <w:t>0.5</w:t>
            </w:r>
            <w:r>
              <w:rPr>
                <w:rFonts w:hint="eastAsia" w:ascii="Calibri" w:hAnsi="Calibri" w:eastAsia="宋体" w:cs="宋体"/>
                <w:color w:val="000000"/>
                <w:kern w:val="2"/>
                <w:sz w:val="21"/>
                <w:szCs w:val="24"/>
                <w:lang w:val="en-US" w:eastAsia="zh-CN" w:bidi="ar"/>
              </w:rPr>
              <w:t>分。</w:t>
            </w:r>
          </w:p>
        </w:tc>
        <w:tc>
          <w:tcPr>
            <w:tcW w:w="989" w:type="dxa"/>
            <w:tcBorders>
              <w:top w:val="nil"/>
              <w:left w:val="nil"/>
              <w:bottom w:val="single" w:color="000000" w:sz="4" w:space="0"/>
              <w:right w:val="single" w:color="000000" w:sz="4" w:space="0"/>
            </w:tcBorders>
            <w:shd w:val="clear" w:color="auto" w:fill="auto"/>
            <w:vAlign w:val="top"/>
          </w:tcPr>
          <w:p w14:paraId="611234D9">
            <w:pPr>
              <w:keepNext w:val="0"/>
              <w:keepLines w:val="0"/>
              <w:widowControl w:val="0"/>
              <w:suppressLineNumbers w:val="0"/>
              <w:spacing w:before="0" w:beforeAutospacing="0" w:after="160" w:afterAutospacing="0" w:line="276" w:lineRule="auto"/>
              <w:ind w:left="0" w:right="0"/>
              <w:jc w:val="center"/>
              <w:rPr>
                <w:rFonts w:hint="default"/>
                <w:lang w:val="en-US"/>
              </w:rPr>
            </w:pPr>
            <w:r>
              <w:rPr>
                <w:rFonts w:hint="eastAsia" w:ascii="Calibri" w:hAnsi="Calibri" w:eastAsia="宋体" w:cs="宋体"/>
                <w:kern w:val="2"/>
                <w:sz w:val="21"/>
                <w:szCs w:val="24"/>
                <w:lang w:val="en-US" w:eastAsia="zh-CN" w:bidi="ar"/>
              </w:rPr>
              <w:t>　</w:t>
            </w:r>
          </w:p>
        </w:tc>
        <w:tc>
          <w:tcPr>
            <w:tcW w:w="354" w:type="dxa"/>
            <w:tcBorders>
              <w:top w:val="nil"/>
              <w:left w:val="nil"/>
              <w:bottom w:val="nil"/>
              <w:right w:val="nil"/>
            </w:tcBorders>
            <w:shd w:val="clear" w:color="auto" w:fill="auto"/>
            <w:vAlign w:val="top"/>
          </w:tcPr>
          <w:p w14:paraId="315E9FED">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1EA5B734">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3648" w:type="dxa"/>
            <w:gridSpan w:val="2"/>
            <w:tcBorders>
              <w:top w:val="nil"/>
              <w:left w:val="single" w:color="000000" w:sz="4" w:space="0"/>
              <w:bottom w:val="single" w:color="000000" w:sz="4" w:space="0"/>
              <w:right w:val="single" w:color="000000" w:sz="4" w:space="0"/>
            </w:tcBorders>
            <w:shd w:val="clear" w:color="auto" w:fill="auto"/>
            <w:vAlign w:val="center"/>
          </w:tcPr>
          <w:p w14:paraId="153D9BFE">
            <w:pPr>
              <w:pStyle w:val="5"/>
              <w:widowControl/>
              <w:spacing w:line="360" w:lineRule="auto"/>
              <w:rPr>
                <w:rFonts w:hint="default" w:ascii="Calibri" w:hAnsi="Calibri" w:eastAsia="宋体" w:cs="Times New Roman"/>
                <w:color w:val="000000"/>
                <w:lang w:val="en-US"/>
              </w:rPr>
            </w:pPr>
            <w:r>
              <w:rPr>
                <w:rFonts w:hint="eastAsia" w:ascii="Calibri" w:hAnsi="Calibri" w:eastAsia="宋体" w:cs="Times New Roman"/>
                <w:color w:val="000000"/>
              </w:rPr>
              <w:t>（</w:t>
            </w:r>
            <w:r>
              <w:rPr>
                <w:rFonts w:hint="default" w:ascii="Calibri" w:hAnsi="Calibri" w:eastAsia="宋体" w:cs="Times New Roman"/>
                <w:color w:val="000000"/>
                <w:lang w:val="en-US"/>
              </w:rPr>
              <w:t>2</w:t>
            </w:r>
            <w:r>
              <w:rPr>
                <w:rFonts w:hint="eastAsia" w:ascii="Calibri" w:hAnsi="Calibri" w:eastAsia="宋体" w:cs="Times New Roman"/>
                <w:color w:val="000000"/>
              </w:rPr>
              <w:t>）认真落实岗位职责，严格检查物品和车辆出入，查对放行条；按照医院的探视规定进行管理和清场工作，维护正常秩序；院内严禁派发传单、广告。</w:t>
            </w:r>
          </w:p>
        </w:tc>
        <w:tc>
          <w:tcPr>
            <w:tcW w:w="3531" w:type="dxa"/>
            <w:tcBorders>
              <w:top w:val="nil"/>
              <w:left w:val="nil"/>
              <w:bottom w:val="single" w:color="000000" w:sz="4" w:space="0"/>
              <w:right w:val="single" w:color="000000" w:sz="4" w:space="0"/>
            </w:tcBorders>
            <w:shd w:val="clear" w:color="auto" w:fill="auto"/>
            <w:vAlign w:val="center"/>
          </w:tcPr>
          <w:p w14:paraId="233B921F">
            <w:pPr>
              <w:pStyle w:val="5"/>
              <w:widowControl/>
              <w:spacing w:line="360" w:lineRule="auto"/>
              <w:rPr>
                <w:rFonts w:hint="default" w:ascii="Calibri" w:hAnsi="Calibri" w:eastAsia="宋体" w:cs="Times New Roman"/>
                <w:color w:val="000000"/>
                <w:lang w:val="en-US"/>
              </w:rPr>
            </w:pPr>
            <w:r>
              <w:rPr>
                <w:rFonts w:hint="eastAsia" w:ascii="Calibri" w:hAnsi="Calibri" w:eastAsia="宋体" w:cs="Times New Roman"/>
                <w:color w:val="000000"/>
              </w:rPr>
              <w:t>值班期间出现脱岗、串岗、在岗位上吃零食、抽烟、看书报、玩手机、打瞌睡或睡觉等每项每人次扣</w:t>
            </w:r>
            <w:r>
              <w:rPr>
                <w:rFonts w:hint="default" w:ascii="Calibri" w:hAnsi="Calibri" w:eastAsia="宋体" w:cs="Times New Roman"/>
                <w:color w:val="000000"/>
                <w:lang w:val="en-US"/>
              </w:rPr>
              <w:t>0.2</w:t>
            </w:r>
            <w:r>
              <w:rPr>
                <w:rFonts w:hint="eastAsia" w:ascii="Calibri" w:hAnsi="Calibri" w:eastAsia="宋体" w:cs="Times New Roman"/>
                <w:color w:val="000000"/>
              </w:rPr>
              <w:t>分；打瞌睡、睡觉或脱岗半小时以上，每项每人次扣</w:t>
            </w:r>
            <w:r>
              <w:rPr>
                <w:rFonts w:hint="default" w:ascii="Calibri" w:hAnsi="Calibri" w:eastAsia="宋体" w:cs="Times New Roman"/>
                <w:color w:val="000000"/>
                <w:lang w:val="en-US"/>
              </w:rPr>
              <w:t>0.5</w:t>
            </w:r>
            <w:r>
              <w:rPr>
                <w:rFonts w:hint="eastAsia" w:ascii="Calibri" w:hAnsi="Calibri" w:eastAsia="宋体" w:cs="Times New Roman"/>
                <w:color w:val="000000"/>
              </w:rPr>
              <w:t>分；脱岗或在岗位上睡觉一小时以上每人次扣</w:t>
            </w:r>
            <w:r>
              <w:rPr>
                <w:rFonts w:hint="default" w:ascii="Calibri" w:hAnsi="Calibri" w:eastAsia="宋体" w:cs="Times New Roman"/>
                <w:color w:val="000000"/>
                <w:lang w:val="en-US"/>
              </w:rPr>
              <w:t>1</w:t>
            </w:r>
            <w:r>
              <w:rPr>
                <w:rFonts w:hint="eastAsia" w:ascii="Calibri" w:hAnsi="Calibri" w:eastAsia="宋体" w:cs="Times New Roman"/>
                <w:color w:val="000000"/>
              </w:rPr>
              <w:t>分；门卫不按规定进行出入检查每次扣</w:t>
            </w:r>
            <w:r>
              <w:rPr>
                <w:rFonts w:hint="default" w:ascii="Calibri" w:hAnsi="Calibri" w:eastAsia="宋体" w:cs="Times New Roman"/>
                <w:color w:val="000000"/>
                <w:lang w:val="en-US"/>
              </w:rPr>
              <w:t>0.5</w:t>
            </w:r>
            <w:r>
              <w:rPr>
                <w:rFonts w:hint="eastAsia" w:ascii="Calibri" w:hAnsi="Calibri" w:eastAsia="宋体" w:cs="Times New Roman"/>
                <w:color w:val="000000"/>
              </w:rPr>
              <w:t>分；医疗区若在非探视时间内秩序混乱每处扣</w:t>
            </w:r>
            <w:r>
              <w:rPr>
                <w:rFonts w:hint="default" w:ascii="Calibri" w:hAnsi="Calibri" w:eastAsia="宋体" w:cs="Times New Roman"/>
                <w:color w:val="000000"/>
                <w:lang w:val="en-US"/>
              </w:rPr>
              <w:t>0.5</w:t>
            </w:r>
            <w:r>
              <w:rPr>
                <w:rFonts w:hint="eastAsia" w:ascii="Calibri" w:hAnsi="Calibri" w:eastAsia="宋体" w:cs="Times New Roman"/>
                <w:color w:val="000000"/>
              </w:rPr>
              <w:t>分；不及时驱赶违规派发传单、广告人员每次扣</w:t>
            </w:r>
            <w:r>
              <w:rPr>
                <w:rFonts w:hint="default" w:ascii="Calibri" w:hAnsi="Calibri" w:eastAsia="宋体" w:cs="Times New Roman"/>
                <w:color w:val="000000"/>
                <w:lang w:val="en-US"/>
              </w:rPr>
              <w:t>0.2</w:t>
            </w:r>
            <w:r>
              <w:rPr>
                <w:rFonts w:hint="eastAsia" w:ascii="Calibri" w:hAnsi="Calibri" w:eastAsia="宋体" w:cs="Times New Roman"/>
                <w:color w:val="000000"/>
              </w:rPr>
              <w:t>分。</w:t>
            </w:r>
          </w:p>
        </w:tc>
        <w:tc>
          <w:tcPr>
            <w:tcW w:w="989" w:type="dxa"/>
            <w:tcBorders>
              <w:top w:val="nil"/>
              <w:left w:val="nil"/>
              <w:bottom w:val="single" w:color="000000" w:sz="4" w:space="0"/>
              <w:right w:val="single" w:color="000000" w:sz="4" w:space="0"/>
            </w:tcBorders>
            <w:shd w:val="clear" w:color="auto" w:fill="auto"/>
            <w:vAlign w:val="top"/>
          </w:tcPr>
          <w:p w14:paraId="6F9644D7">
            <w:pPr>
              <w:keepNext w:val="0"/>
              <w:keepLines w:val="0"/>
              <w:widowControl w:val="0"/>
              <w:suppressLineNumbers w:val="0"/>
              <w:spacing w:before="0" w:beforeAutospacing="0" w:after="160" w:afterAutospacing="0" w:line="276" w:lineRule="auto"/>
              <w:ind w:left="0" w:right="0"/>
              <w:jc w:val="center"/>
              <w:rPr>
                <w:rFonts w:hint="default"/>
                <w:lang w:val="en-US"/>
              </w:rPr>
            </w:pPr>
          </w:p>
        </w:tc>
        <w:tc>
          <w:tcPr>
            <w:tcW w:w="354" w:type="dxa"/>
            <w:tcBorders>
              <w:top w:val="nil"/>
              <w:left w:val="nil"/>
              <w:bottom w:val="nil"/>
              <w:right w:val="nil"/>
            </w:tcBorders>
            <w:shd w:val="clear" w:color="auto" w:fill="auto"/>
            <w:vAlign w:val="top"/>
          </w:tcPr>
          <w:p w14:paraId="760A5C90">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0F47696F">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3648" w:type="dxa"/>
            <w:gridSpan w:val="2"/>
            <w:tcBorders>
              <w:top w:val="nil"/>
              <w:left w:val="single" w:color="000000" w:sz="4" w:space="0"/>
              <w:bottom w:val="single" w:color="000000" w:sz="4" w:space="0"/>
              <w:right w:val="single" w:color="000000" w:sz="4" w:space="0"/>
            </w:tcBorders>
            <w:shd w:val="clear" w:color="auto" w:fill="auto"/>
            <w:vAlign w:val="center"/>
          </w:tcPr>
          <w:p w14:paraId="2F841A34">
            <w:pPr>
              <w:pStyle w:val="5"/>
              <w:widowControl/>
              <w:spacing w:line="360" w:lineRule="auto"/>
              <w:rPr>
                <w:rFonts w:hint="default" w:ascii="Calibri" w:hAnsi="Calibri" w:eastAsia="宋体" w:cs="Times New Roman"/>
                <w:color w:val="000000"/>
                <w:lang w:val="en-US"/>
              </w:rPr>
            </w:pPr>
            <w:r>
              <w:rPr>
                <w:rFonts w:hint="eastAsia" w:ascii="Calibri" w:hAnsi="Calibri" w:eastAsia="宋体" w:cs="Times New Roman"/>
                <w:color w:val="000000"/>
              </w:rPr>
              <w:t>（</w:t>
            </w:r>
            <w:r>
              <w:rPr>
                <w:rFonts w:hint="default" w:ascii="Calibri" w:hAnsi="Calibri" w:eastAsia="宋体" w:cs="Times New Roman"/>
                <w:color w:val="000000"/>
                <w:lang w:val="en-US"/>
              </w:rPr>
              <w:t>3</w:t>
            </w:r>
            <w:r>
              <w:rPr>
                <w:rFonts w:hint="eastAsia" w:ascii="Calibri" w:hAnsi="Calibri" w:eastAsia="宋体" w:cs="Times New Roman"/>
                <w:color w:val="000000"/>
              </w:rPr>
              <w:t>）严格安全巡查制度，防偷盗、防破坏、防医托诈骗等，有效防范院内财物失窃，发现安全隐患要立刻上报；每半年</w:t>
            </w:r>
            <w:r>
              <w:rPr>
                <w:rFonts w:hint="default" w:ascii="Calibri" w:hAnsi="Calibri" w:eastAsia="宋体" w:cs="Times New Roman"/>
                <w:color w:val="000000"/>
                <w:lang w:val="en-US"/>
              </w:rPr>
              <w:t xml:space="preserve"> 1 </w:t>
            </w:r>
            <w:r>
              <w:rPr>
                <w:rFonts w:hint="eastAsia" w:ascii="Calibri" w:hAnsi="Calibri" w:eastAsia="宋体" w:cs="Times New Roman"/>
                <w:color w:val="000000"/>
              </w:rPr>
              <w:t>次开展防盗、防火宣传，严格执行节假日值班制度，严格遵守视频监控中心各项管理规定，除值班员外需查看视频监控录像必须经主管部门批准。</w:t>
            </w:r>
          </w:p>
        </w:tc>
        <w:tc>
          <w:tcPr>
            <w:tcW w:w="3531" w:type="dxa"/>
            <w:tcBorders>
              <w:top w:val="nil"/>
              <w:left w:val="nil"/>
              <w:bottom w:val="single" w:color="000000" w:sz="4" w:space="0"/>
              <w:right w:val="single" w:color="000000" w:sz="4" w:space="0"/>
            </w:tcBorders>
            <w:shd w:val="clear" w:color="auto" w:fill="auto"/>
            <w:vAlign w:val="center"/>
          </w:tcPr>
          <w:p w14:paraId="2BF86FDC">
            <w:pPr>
              <w:pStyle w:val="5"/>
              <w:widowControl/>
              <w:spacing w:line="360" w:lineRule="auto"/>
              <w:rPr>
                <w:rFonts w:hint="default" w:ascii="Calibri" w:hAnsi="Calibri" w:eastAsia="宋体" w:cs="Times New Roman"/>
                <w:color w:val="000000"/>
                <w:lang w:val="en-US"/>
              </w:rPr>
            </w:pPr>
            <w:r>
              <w:rPr>
                <w:rFonts w:hint="eastAsia" w:ascii="Calibri" w:hAnsi="Calibri" w:eastAsia="宋体" w:cs="Times New Roman"/>
                <w:color w:val="000000"/>
              </w:rPr>
              <w:t>发现问题不及时处理酿成不良后果的每次扣</w:t>
            </w:r>
            <w:r>
              <w:rPr>
                <w:rFonts w:hint="default" w:ascii="Calibri" w:hAnsi="Calibri" w:eastAsia="宋体" w:cs="Times New Roman"/>
                <w:color w:val="000000"/>
                <w:lang w:val="en-US"/>
              </w:rPr>
              <w:t>2</w:t>
            </w:r>
            <w:r>
              <w:rPr>
                <w:rFonts w:hint="eastAsia" w:ascii="Calibri" w:hAnsi="Calibri" w:eastAsia="宋体" w:cs="Times New Roman"/>
                <w:color w:val="000000"/>
              </w:rPr>
              <w:t>分；由于岗位人员失职或监管不到位发生被盗事件，应赔偿的照价赔偿，并每件次扣</w:t>
            </w:r>
            <w:r>
              <w:rPr>
                <w:rFonts w:hint="default" w:ascii="Calibri" w:hAnsi="Calibri" w:eastAsia="宋体" w:cs="Times New Roman"/>
                <w:color w:val="000000"/>
                <w:lang w:val="en-US"/>
              </w:rPr>
              <w:t>0.5</w:t>
            </w:r>
            <w:r>
              <w:rPr>
                <w:rFonts w:hint="eastAsia" w:ascii="Calibri" w:hAnsi="Calibri" w:eastAsia="宋体" w:cs="Times New Roman"/>
                <w:color w:val="000000"/>
              </w:rPr>
              <w:t>—</w:t>
            </w:r>
            <w:r>
              <w:rPr>
                <w:rFonts w:hint="default" w:ascii="Calibri" w:hAnsi="Calibri" w:eastAsia="宋体" w:cs="Times New Roman"/>
                <w:color w:val="000000"/>
                <w:lang w:val="en-US"/>
              </w:rPr>
              <w:t>2</w:t>
            </w:r>
            <w:r>
              <w:rPr>
                <w:rFonts w:hint="eastAsia" w:ascii="Calibri" w:hAnsi="Calibri" w:eastAsia="宋体" w:cs="Times New Roman"/>
                <w:color w:val="000000"/>
              </w:rPr>
              <w:t>分；未按要求开展防盗、防火宣传的每次扣</w:t>
            </w:r>
            <w:r>
              <w:rPr>
                <w:rFonts w:hint="default" w:ascii="Calibri" w:hAnsi="Calibri" w:eastAsia="宋体" w:cs="Times New Roman"/>
                <w:color w:val="000000"/>
                <w:lang w:val="en-US"/>
              </w:rPr>
              <w:t>1</w:t>
            </w:r>
            <w:r>
              <w:rPr>
                <w:rFonts w:hint="eastAsia" w:ascii="Calibri" w:hAnsi="Calibri" w:eastAsia="宋体" w:cs="Times New Roman"/>
                <w:color w:val="000000"/>
              </w:rPr>
              <w:t>分；巡逻人员未能履行职责的视情每人次扣</w:t>
            </w:r>
            <w:r>
              <w:rPr>
                <w:rFonts w:hint="default" w:ascii="Calibri" w:hAnsi="Calibri" w:eastAsia="宋体" w:cs="Times New Roman"/>
                <w:color w:val="000000"/>
                <w:lang w:val="en-US"/>
              </w:rPr>
              <w:t>0.3</w:t>
            </w:r>
            <w:r>
              <w:rPr>
                <w:rFonts w:hint="eastAsia" w:ascii="Calibri" w:hAnsi="Calibri" w:eastAsia="宋体" w:cs="Times New Roman"/>
                <w:color w:val="000000"/>
              </w:rPr>
              <w:t>—</w:t>
            </w:r>
            <w:r>
              <w:rPr>
                <w:rFonts w:hint="default" w:ascii="Calibri" w:hAnsi="Calibri" w:eastAsia="宋体" w:cs="Times New Roman"/>
                <w:color w:val="000000"/>
                <w:lang w:val="en-US"/>
              </w:rPr>
              <w:t>2</w:t>
            </w:r>
            <w:r>
              <w:rPr>
                <w:rFonts w:hint="eastAsia" w:ascii="Calibri" w:hAnsi="Calibri" w:eastAsia="宋体" w:cs="Times New Roman"/>
                <w:color w:val="000000"/>
              </w:rPr>
              <w:t>分。</w:t>
            </w:r>
          </w:p>
        </w:tc>
        <w:tc>
          <w:tcPr>
            <w:tcW w:w="989" w:type="dxa"/>
            <w:tcBorders>
              <w:top w:val="nil"/>
              <w:left w:val="nil"/>
              <w:bottom w:val="single" w:color="000000" w:sz="4" w:space="0"/>
              <w:right w:val="single" w:color="000000" w:sz="4" w:space="0"/>
            </w:tcBorders>
            <w:shd w:val="clear" w:color="auto" w:fill="auto"/>
            <w:vAlign w:val="top"/>
          </w:tcPr>
          <w:p w14:paraId="7C4746A9">
            <w:pPr>
              <w:keepNext w:val="0"/>
              <w:keepLines w:val="0"/>
              <w:widowControl w:val="0"/>
              <w:suppressLineNumbers w:val="0"/>
              <w:spacing w:before="0" w:beforeAutospacing="0" w:after="160" w:afterAutospacing="0" w:line="276" w:lineRule="auto"/>
              <w:ind w:left="0" w:right="0"/>
              <w:jc w:val="center"/>
              <w:rPr>
                <w:rFonts w:hint="default"/>
                <w:lang w:val="en-US"/>
              </w:rPr>
            </w:pPr>
          </w:p>
        </w:tc>
        <w:tc>
          <w:tcPr>
            <w:tcW w:w="354" w:type="dxa"/>
            <w:tcBorders>
              <w:top w:val="nil"/>
              <w:left w:val="nil"/>
              <w:bottom w:val="nil"/>
              <w:right w:val="nil"/>
            </w:tcBorders>
            <w:shd w:val="clear" w:color="auto" w:fill="auto"/>
            <w:vAlign w:val="top"/>
          </w:tcPr>
          <w:p w14:paraId="4B1C0C3D">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294913B0">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3648" w:type="dxa"/>
            <w:gridSpan w:val="2"/>
            <w:tcBorders>
              <w:top w:val="nil"/>
              <w:left w:val="single" w:color="000000" w:sz="4" w:space="0"/>
              <w:bottom w:val="single" w:color="000000" w:sz="4" w:space="0"/>
              <w:right w:val="single" w:color="000000" w:sz="4" w:space="0"/>
            </w:tcBorders>
            <w:shd w:val="clear" w:color="auto" w:fill="auto"/>
            <w:vAlign w:val="center"/>
          </w:tcPr>
          <w:p w14:paraId="783F7DEC">
            <w:pPr>
              <w:pStyle w:val="5"/>
              <w:widowControl/>
              <w:spacing w:line="360" w:lineRule="auto"/>
              <w:rPr>
                <w:rFonts w:hint="default" w:ascii="Calibri" w:hAnsi="Calibri" w:eastAsia="宋体" w:cs="Times New Roman"/>
                <w:color w:val="000000"/>
                <w:lang w:val="en-US"/>
              </w:rPr>
            </w:pPr>
            <w:r>
              <w:rPr>
                <w:rFonts w:hint="eastAsia" w:ascii="Calibri" w:hAnsi="Calibri" w:eastAsia="宋体" w:cs="Times New Roman"/>
                <w:color w:val="000000"/>
              </w:rPr>
              <w:t>（</w:t>
            </w:r>
            <w:r>
              <w:rPr>
                <w:rFonts w:hint="default" w:ascii="Calibri" w:hAnsi="Calibri" w:eastAsia="宋体" w:cs="Times New Roman"/>
                <w:color w:val="000000"/>
                <w:lang w:val="en-US"/>
              </w:rPr>
              <w:t>4</w:t>
            </w:r>
            <w:r>
              <w:rPr>
                <w:rFonts w:hint="eastAsia" w:ascii="Calibri" w:hAnsi="Calibri" w:eastAsia="宋体" w:cs="Times New Roman"/>
                <w:color w:val="000000"/>
              </w:rPr>
              <w:t>）制定突发治安事件应急处置预案，确保院区无重大治安和刑事案件发生；当发生群体性医患纠纷时，须调动所有力量维护医疗秩序，确保院区安全稳定；做好医院重大活动的安保工作；圆满完成院方交付的其他任务。</w:t>
            </w:r>
          </w:p>
        </w:tc>
        <w:tc>
          <w:tcPr>
            <w:tcW w:w="3531" w:type="dxa"/>
            <w:tcBorders>
              <w:top w:val="nil"/>
              <w:left w:val="nil"/>
              <w:bottom w:val="single" w:color="000000" w:sz="4" w:space="0"/>
              <w:right w:val="single" w:color="000000" w:sz="4" w:space="0"/>
            </w:tcBorders>
            <w:shd w:val="clear" w:color="auto" w:fill="auto"/>
            <w:vAlign w:val="center"/>
          </w:tcPr>
          <w:p w14:paraId="386A4438">
            <w:pPr>
              <w:pStyle w:val="5"/>
              <w:widowControl/>
              <w:spacing w:line="360" w:lineRule="auto"/>
              <w:rPr>
                <w:rFonts w:hint="default" w:ascii="Calibri" w:hAnsi="Calibri" w:eastAsia="宋体" w:cs="Times New Roman"/>
                <w:color w:val="000000"/>
                <w:lang w:val="en-US"/>
              </w:rPr>
            </w:pPr>
            <w:r>
              <w:rPr>
                <w:rFonts w:hint="eastAsia" w:ascii="Calibri" w:hAnsi="Calibri" w:eastAsia="宋体" w:cs="Times New Roman"/>
                <w:color w:val="000000"/>
              </w:rPr>
              <w:t>因处理失当造成重大影响时，每件次扣</w:t>
            </w:r>
            <w:r>
              <w:rPr>
                <w:rFonts w:hint="default" w:ascii="Calibri" w:hAnsi="Calibri" w:eastAsia="宋体" w:cs="Times New Roman"/>
                <w:color w:val="000000"/>
                <w:lang w:val="en-US"/>
              </w:rPr>
              <w:t>4</w:t>
            </w:r>
            <w:r>
              <w:rPr>
                <w:rFonts w:hint="eastAsia" w:ascii="Calibri" w:hAnsi="Calibri" w:eastAsia="宋体" w:cs="Times New Roman"/>
                <w:color w:val="000000"/>
              </w:rPr>
              <w:t>分；无应急处置预案每案扣</w:t>
            </w:r>
            <w:r>
              <w:rPr>
                <w:rFonts w:hint="default" w:ascii="Calibri" w:hAnsi="Calibri" w:eastAsia="宋体" w:cs="Times New Roman"/>
                <w:color w:val="000000"/>
                <w:lang w:val="en-US"/>
              </w:rPr>
              <w:t>2</w:t>
            </w:r>
            <w:r>
              <w:rPr>
                <w:rFonts w:hint="eastAsia" w:ascii="Calibri" w:hAnsi="Calibri" w:eastAsia="宋体" w:cs="Times New Roman"/>
                <w:color w:val="000000"/>
              </w:rPr>
              <w:t>分；对预案掌握不熟练扣</w:t>
            </w:r>
            <w:r>
              <w:rPr>
                <w:rFonts w:hint="default" w:ascii="Calibri" w:hAnsi="Calibri" w:eastAsia="宋体" w:cs="Times New Roman"/>
                <w:color w:val="000000"/>
                <w:lang w:val="en-US"/>
              </w:rPr>
              <w:t>0.5</w:t>
            </w:r>
            <w:r>
              <w:rPr>
                <w:rFonts w:hint="eastAsia" w:ascii="Calibri" w:hAnsi="Calibri" w:eastAsia="宋体" w:cs="Times New Roman"/>
                <w:color w:val="000000"/>
              </w:rPr>
              <w:t>—</w:t>
            </w:r>
            <w:r>
              <w:rPr>
                <w:rFonts w:hint="default" w:ascii="Calibri" w:hAnsi="Calibri" w:eastAsia="宋体" w:cs="Times New Roman"/>
                <w:color w:val="000000"/>
                <w:lang w:val="en-US"/>
              </w:rPr>
              <w:t>1</w:t>
            </w:r>
            <w:r>
              <w:rPr>
                <w:rFonts w:hint="eastAsia" w:ascii="Calibri" w:hAnsi="Calibri" w:eastAsia="宋体" w:cs="Times New Roman"/>
                <w:color w:val="000000"/>
              </w:rPr>
              <w:t>分；重大活动、会议、检查等内保工作落实不到位视情节轻重扣</w:t>
            </w:r>
            <w:r>
              <w:rPr>
                <w:rFonts w:hint="default" w:ascii="Calibri" w:hAnsi="Calibri" w:eastAsia="宋体" w:cs="Times New Roman"/>
                <w:color w:val="000000"/>
                <w:lang w:val="en-US"/>
              </w:rPr>
              <w:t>2</w:t>
            </w:r>
            <w:r>
              <w:rPr>
                <w:rFonts w:hint="eastAsia" w:ascii="Calibri" w:hAnsi="Calibri" w:eastAsia="宋体" w:cs="Times New Roman"/>
                <w:color w:val="000000"/>
              </w:rPr>
              <w:t>—</w:t>
            </w:r>
            <w:r>
              <w:rPr>
                <w:rFonts w:hint="default" w:ascii="Calibri" w:hAnsi="Calibri" w:eastAsia="宋体" w:cs="Times New Roman"/>
                <w:color w:val="000000"/>
                <w:lang w:val="en-US"/>
              </w:rPr>
              <w:t>4</w:t>
            </w:r>
            <w:r>
              <w:rPr>
                <w:rFonts w:hint="eastAsia" w:ascii="Calibri" w:hAnsi="Calibri" w:eastAsia="宋体" w:cs="Times New Roman"/>
                <w:color w:val="000000"/>
              </w:rPr>
              <w:t>分。</w:t>
            </w:r>
          </w:p>
        </w:tc>
        <w:tc>
          <w:tcPr>
            <w:tcW w:w="989" w:type="dxa"/>
            <w:tcBorders>
              <w:top w:val="nil"/>
              <w:left w:val="nil"/>
              <w:bottom w:val="single" w:color="000000" w:sz="4" w:space="0"/>
              <w:right w:val="single" w:color="000000" w:sz="4" w:space="0"/>
            </w:tcBorders>
            <w:shd w:val="clear" w:color="auto" w:fill="auto"/>
            <w:vAlign w:val="top"/>
          </w:tcPr>
          <w:p w14:paraId="6842C3E2">
            <w:pPr>
              <w:keepNext w:val="0"/>
              <w:keepLines w:val="0"/>
              <w:widowControl w:val="0"/>
              <w:suppressLineNumbers w:val="0"/>
              <w:spacing w:before="0" w:beforeAutospacing="0" w:after="160" w:afterAutospacing="0" w:line="276" w:lineRule="auto"/>
              <w:ind w:left="0" w:right="0"/>
              <w:jc w:val="center"/>
              <w:rPr>
                <w:rFonts w:hint="default"/>
                <w:lang w:val="en-US"/>
              </w:rPr>
            </w:pPr>
          </w:p>
        </w:tc>
        <w:tc>
          <w:tcPr>
            <w:tcW w:w="354" w:type="dxa"/>
            <w:tcBorders>
              <w:top w:val="nil"/>
              <w:left w:val="nil"/>
              <w:bottom w:val="nil"/>
              <w:right w:val="nil"/>
            </w:tcBorders>
            <w:shd w:val="clear" w:color="auto" w:fill="auto"/>
            <w:vAlign w:val="top"/>
          </w:tcPr>
          <w:p w14:paraId="4ABFD5BD">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560203FE">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3648" w:type="dxa"/>
            <w:gridSpan w:val="2"/>
            <w:vMerge w:val="restart"/>
            <w:tcBorders>
              <w:top w:val="nil"/>
              <w:left w:val="single" w:color="000000" w:sz="4" w:space="0"/>
              <w:bottom w:val="single" w:color="000000" w:sz="4" w:space="0"/>
              <w:right w:val="single" w:color="000000" w:sz="4" w:space="0"/>
            </w:tcBorders>
            <w:shd w:val="clear" w:color="auto" w:fill="auto"/>
            <w:vAlign w:val="center"/>
          </w:tcPr>
          <w:p w14:paraId="62327872">
            <w:pPr>
              <w:pStyle w:val="5"/>
              <w:widowControl/>
              <w:spacing w:line="360" w:lineRule="auto"/>
              <w:rPr>
                <w:rFonts w:hint="default" w:ascii="Calibri" w:hAnsi="Calibri" w:eastAsia="宋体" w:cs="Times New Roman"/>
                <w:color w:val="000000"/>
                <w:lang w:val="en-US"/>
              </w:rPr>
            </w:pPr>
            <w:r>
              <w:rPr>
                <w:rFonts w:hint="eastAsia" w:ascii="Calibri" w:hAnsi="Calibri" w:eastAsia="宋体" w:cs="Times New Roman"/>
                <w:color w:val="000000"/>
              </w:rPr>
              <w:t>（</w:t>
            </w:r>
            <w:r>
              <w:rPr>
                <w:rFonts w:hint="default" w:ascii="Calibri" w:hAnsi="Calibri" w:eastAsia="宋体" w:cs="Times New Roman"/>
                <w:color w:val="000000"/>
                <w:lang w:val="en-US"/>
              </w:rPr>
              <w:t>5</w:t>
            </w:r>
            <w:r>
              <w:rPr>
                <w:rFonts w:hint="eastAsia" w:ascii="Calibri" w:hAnsi="Calibri" w:eastAsia="宋体" w:cs="Times New Roman"/>
                <w:color w:val="000000"/>
              </w:rPr>
              <w:t>）主动接受管理，服从工作安排，一切行动听指挥。遵守国家法律法规和医院规章制度，无违法违纪行为。</w:t>
            </w:r>
          </w:p>
        </w:tc>
        <w:tc>
          <w:tcPr>
            <w:tcW w:w="3531" w:type="dxa"/>
            <w:vMerge w:val="restart"/>
            <w:tcBorders>
              <w:top w:val="nil"/>
              <w:left w:val="nil"/>
              <w:bottom w:val="single" w:color="000000" w:sz="4" w:space="0"/>
              <w:right w:val="single" w:color="000000" w:sz="4" w:space="0"/>
            </w:tcBorders>
            <w:shd w:val="clear" w:color="auto" w:fill="auto"/>
            <w:vAlign w:val="top"/>
          </w:tcPr>
          <w:p w14:paraId="1B7E7753">
            <w:pPr>
              <w:pStyle w:val="5"/>
              <w:widowControl/>
              <w:spacing w:line="360" w:lineRule="auto"/>
              <w:rPr>
                <w:rFonts w:hint="default" w:ascii="Calibri" w:hAnsi="Calibri" w:eastAsia="宋体" w:cs="Times New Roman"/>
                <w:color w:val="000000"/>
                <w:lang w:val="en-US"/>
              </w:rPr>
            </w:pPr>
            <w:r>
              <w:rPr>
                <w:rFonts w:hint="eastAsia" w:ascii="Calibri" w:hAnsi="Calibri" w:eastAsia="宋体" w:cs="Times New Roman"/>
                <w:color w:val="000000"/>
              </w:rPr>
              <w:t>有不服从管理、指挥或顶撞领导行为的一律作调离处理并每人次扣管理分</w:t>
            </w:r>
            <w:r>
              <w:rPr>
                <w:rFonts w:hint="default" w:ascii="Calibri" w:hAnsi="Calibri" w:eastAsia="宋体" w:cs="Times New Roman"/>
                <w:color w:val="000000"/>
                <w:lang w:val="en-US"/>
              </w:rPr>
              <w:t>3</w:t>
            </w:r>
            <w:r>
              <w:rPr>
                <w:rFonts w:hint="eastAsia" w:ascii="Calibri" w:hAnsi="Calibri" w:eastAsia="宋体" w:cs="Times New Roman"/>
                <w:color w:val="000000"/>
              </w:rPr>
              <w:t>分；出现黄、赌、毒及其它违纪违法行为的，视情节轻重每人次扣</w:t>
            </w:r>
            <w:r>
              <w:rPr>
                <w:rFonts w:hint="default" w:ascii="Calibri" w:hAnsi="Calibri" w:eastAsia="宋体" w:cs="Times New Roman"/>
                <w:color w:val="000000"/>
                <w:lang w:val="en-US"/>
              </w:rPr>
              <w:t>2</w:t>
            </w:r>
            <w:r>
              <w:rPr>
                <w:rFonts w:hint="eastAsia" w:ascii="Calibri" w:hAnsi="Calibri" w:eastAsia="宋体" w:cs="Times New Roman"/>
                <w:color w:val="000000"/>
              </w:rPr>
              <w:t>—</w:t>
            </w:r>
            <w:r>
              <w:rPr>
                <w:rFonts w:hint="default" w:ascii="Calibri" w:hAnsi="Calibri" w:eastAsia="宋体" w:cs="Times New Roman"/>
                <w:color w:val="000000"/>
                <w:lang w:val="en-US"/>
              </w:rPr>
              <w:t>5</w:t>
            </w:r>
            <w:r>
              <w:rPr>
                <w:rFonts w:hint="eastAsia" w:ascii="Calibri" w:hAnsi="Calibri" w:eastAsia="宋体" w:cs="Times New Roman"/>
                <w:color w:val="000000"/>
              </w:rPr>
              <w:t>分，并依法追究当事人法律责任和管理责任。出现内部员工打架、斗殴、内盗和对内部员工违规违法行为不制止、不报告的，相关人一律作调离处理，并追究其相应的法律责任，同时扣除该项全部分值。</w:t>
            </w:r>
          </w:p>
        </w:tc>
        <w:tc>
          <w:tcPr>
            <w:tcW w:w="989" w:type="dxa"/>
            <w:vMerge w:val="restart"/>
            <w:tcBorders>
              <w:top w:val="nil"/>
              <w:left w:val="nil"/>
              <w:bottom w:val="single" w:color="000000" w:sz="4" w:space="0"/>
              <w:right w:val="single" w:color="000000" w:sz="4" w:space="0"/>
            </w:tcBorders>
            <w:shd w:val="clear" w:color="auto" w:fill="auto"/>
            <w:vAlign w:val="top"/>
          </w:tcPr>
          <w:p w14:paraId="34E9AA35">
            <w:pPr>
              <w:keepNext w:val="0"/>
              <w:keepLines w:val="0"/>
              <w:widowControl w:val="0"/>
              <w:suppressLineNumbers w:val="0"/>
              <w:spacing w:before="0" w:beforeAutospacing="0" w:after="160" w:afterAutospacing="0" w:line="276" w:lineRule="auto"/>
              <w:ind w:left="0" w:right="0"/>
              <w:jc w:val="center"/>
              <w:rPr>
                <w:rFonts w:hint="default"/>
                <w:lang w:val="en-US"/>
              </w:rPr>
            </w:pPr>
          </w:p>
        </w:tc>
        <w:tc>
          <w:tcPr>
            <w:tcW w:w="354" w:type="dxa"/>
            <w:tcBorders>
              <w:top w:val="nil"/>
              <w:left w:val="nil"/>
              <w:bottom w:val="nil"/>
              <w:right w:val="nil"/>
            </w:tcBorders>
            <w:shd w:val="clear" w:color="auto" w:fill="auto"/>
            <w:vAlign w:val="top"/>
          </w:tcPr>
          <w:p w14:paraId="2FDD02BE">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1FEB201D">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3648" w:type="dxa"/>
            <w:gridSpan w:val="2"/>
            <w:vMerge w:val="continue"/>
            <w:tcBorders>
              <w:top w:val="nil"/>
              <w:left w:val="single" w:color="000000" w:sz="4" w:space="0"/>
              <w:bottom w:val="single" w:color="000000" w:sz="4" w:space="0"/>
              <w:right w:val="single" w:color="000000" w:sz="4" w:space="0"/>
            </w:tcBorders>
            <w:shd w:val="clear" w:color="auto" w:fill="auto"/>
            <w:vAlign w:val="center"/>
          </w:tcPr>
          <w:p w14:paraId="5D0B311E">
            <w:pPr>
              <w:keepNext w:val="0"/>
              <w:keepLines w:val="0"/>
              <w:suppressLineNumbers w:val="0"/>
              <w:spacing w:before="0" w:beforeAutospacing="0" w:after="160" w:afterAutospacing="0" w:line="276" w:lineRule="auto"/>
              <w:ind w:left="0" w:right="0"/>
              <w:rPr>
                <w:rFonts w:hint="default" w:ascii="Arial" w:hAnsi="Arial" w:cs="Arial"/>
                <w:sz w:val="20"/>
                <w:szCs w:val="20"/>
              </w:rPr>
            </w:pPr>
          </w:p>
        </w:tc>
        <w:tc>
          <w:tcPr>
            <w:tcW w:w="3531" w:type="dxa"/>
            <w:vMerge w:val="continue"/>
            <w:tcBorders>
              <w:top w:val="nil"/>
              <w:left w:val="nil"/>
              <w:bottom w:val="single" w:color="000000" w:sz="4" w:space="0"/>
              <w:right w:val="single" w:color="000000" w:sz="4" w:space="0"/>
            </w:tcBorders>
            <w:shd w:val="clear" w:color="auto" w:fill="auto"/>
            <w:vAlign w:val="top"/>
          </w:tcPr>
          <w:p w14:paraId="48CB87E0">
            <w:pPr>
              <w:keepNext w:val="0"/>
              <w:keepLines w:val="0"/>
              <w:suppressLineNumbers w:val="0"/>
              <w:spacing w:before="0" w:beforeAutospacing="0" w:after="160" w:afterAutospacing="0" w:line="276" w:lineRule="auto"/>
              <w:ind w:left="0" w:right="0"/>
              <w:rPr>
                <w:rFonts w:hint="default" w:ascii="Arial" w:hAnsi="Arial" w:cs="Arial"/>
                <w:sz w:val="20"/>
                <w:szCs w:val="20"/>
              </w:rPr>
            </w:pPr>
          </w:p>
        </w:tc>
        <w:tc>
          <w:tcPr>
            <w:tcW w:w="989" w:type="dxa"/>
            <w:vMerge w:val="continue"/>
            <w:tcBorders>
              <w:top w:val="nil"/>
              <w:left w:val="nil"/>
              <w:bottom w:val="single" w:color="000000" w:sz="4" w:space="0"/>
              <w:right w:val="single" w:color="000000" w:sz="4" w:space="0"/>
            </w:tcBorders>
            <w:shd w:val="clear" w:color="auto" w:fill="auto"/>
            <w:vAlign w:val="top"/>
          </w:tcPr>
          <w:p w14:paraId="0B845DAD">
            <w:pPr>
              <w:keepNext w:val="0"/>
              <w:keepLines w:val="0"/>
              <w:suppressLineNumbers w:val="0"/>
              <w:spacing w:before="0" w:beforeAutospacing="0" w:after="160" w:afterAutospacing="0" w:line="276" w:lineRule="auto"/>
              <w:ind w:left="0" w:right="0"/>
              <w:rPr>
                <w:rFonts w:hint="default" w:ascii="Arial" w:hAnsi="Arial" w:cs="Arial"/>
                <w:sz w:val="20"/>
                <w:szCs w:val="20"/>
              </w:rPr>
            </w:pPr>
          </w:p>
        </w:tc>
        <w:tc>
          <w:tcPr>
            <w:tcW w:w="354" w:type="dxa"/>
            <w:tcBorders>
              <w:top w:val="nil"/>
              <w:left w:val="nil"/>
              <w:bottom w:val="nil"/>
              <w:right w:val="nil"/>
            </w:tcBorders>
            <w:shd w:val="clear" w:color="auto" w:fill="auto"/>
            <w:vAlign w:val="top"/>
          </w:tcPr>
          <w:p w14:paraId="0842AB18">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4EE9FCF8">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7179" w:type="dxa"/>
            <w:gridSpan w:val="3"/>
            <w:tcBorders>
              <w:top w:val="nil"/>
              <w:left w:val="single" w:color="000000" w:sz="4" w:space="0"/>
              <w:bottom w:val="single" w:color="000000" w:sz="4" w:space="0"/>
              <w:right w:val="single" w:color="000000" w:sz="4" w:space="0"/>
            </w:tcBorders>
            <w:shd w:val="clear" w:color="auto" w:fill="auto"/>
            <w:vAlign w:val="top"/>
          </w:tcPr>
          <w:p w14:paraId="6E2C7A6E">
            <w:pPr>
              <w:keepNext w:val="0"/>
              <w:keepLines w:val="0"/>
              <w:widowControl w:val="0"/>
              <w:suppressLineNumbers w:val="0"/>
              <w:spacing w:before="0" w:beforeAutospacing="0" w:after="160" w:afterAutospacing="0" w:line="276" w:lineRule="auto"/>
              <w:ind w:left="0" w:right="0"/>
              <w:jc w:val="center"/>
              <w:rPr>
                <w:rFonts w:hint="default"/>
                <w:lang w:val="en-US"/>
              </w:rPr>
            </w:pPr>
            <w:r>
              <w:rPr>
                <w:rFonts w:hint="eastAsia" w:ascii="Calibri" w:hAnsi="Calibri" w:eastAsia="宋体" w:cs="宋体"/>
                <w:color w:val="000000"/>
                <w:kern w:val="2"/>
                <w:sz w:val="21"/>
                <w:szCs w:val="24"/>
                <w:lang w:val="en-US" w:eastAsia="zh-CN" w:bidi="ar"/>
              </w:rPr>
              <w:t>交通管理（</w:t>
            </w:r>
            <w:r>
              <w:rPr>
                <w:rFonts w:hint="default" w:ascii="Calibri" w:hAnsi="Calibri" w:eastAsia="宋体" w:cs="Times New Roman"/>
                <w:color w:val="000000"/>
                <w:kern w:val="2"/>
                <w:sz w:val="21"/>
                <w:szCs w:val="24"/>
                <w:lang w:val="en-US" w:eastAsia="zh-CN" w:bidi="ar"/>
              </w:rPr>
              <w:t>20</w:t>
            </w:r>
            <w:r>
              <w:rPr>
                <w:rFonts w:hint="eastAsia" w:ascii="Calibri" w:hAnsi="Calibri" w:eastAsia="宋体" w:cs="宋体"/>
                <w:color w:val="000000"/>
                <w:kern w:val="2"/>
                <w:sz w:val="21"/>
                <w:szCs w:val="24"/>
                <w:lang w:val="en-US" w:eastAsia="zh-CN" w:bidi="ar"/>
              </w:rPr>
              <w:t>分）</w:t>
            </w:r>
          </w:p>
        </w:tc>
        <w:tc>
          <w:tcPr>
            <w:tcW w:w="989" w:type="dxa"/>
            <w:tcBorders>
              <w:top w:val="nil"/>
              <w:left w:val="nil"/>
              <w:bottom w:val="single" w:color="000000" w:sz="4" w:space="0"/>
              <w:right w:val="single" w:color="000000" w:sz="4" w:space="0"/>
            </w:tcBorders>
            <w:shd w:val="clear" w:color="auto" w:fill="auto"/>
            <w:vAlign w:val="top"/>
          </w:tcPr>
          <w:p w14:paraId="502C5683">
            <w:pPr>
              <w:keepNext w:val="0"/>
              <w:keepLines w:val="0"/>
              <w:widowControl w:val="0"/>
              <w:suppressLineNumbers w:val="0"/>
              <w:spacing w:before="0" w:beforeAutospacing="0" w:after="160" w:afterAutospacing="0" w:line="276" w:lineRule="auto"/>
              <w:ind w:left="0" w:right="0" w:firstLine="420"/>
              <w:jc w:val="center"/>
              <w:rPr>
                <w:rFonts w:hint="default"/>
                <w:lang w:val="en-US"/>
              </w:rPr>
            </w:pPr>
          </w:p>
        </w:tc>
        <w:tc>
          <w:tcPr>
            <w:tcW w:w="354" w:type="dxa"/>
            <w:tcBorders>
              <w:top w:val="nil"/>
              <w:left w:val="nil"/>
              <w:bottom w:val="nil"/>
              <w:right w:val="nil"/>
            </w:tcBorders>
            <w:shd w:val="clear" w:color="auto" w:fill="auto"/>
            <w:vAlign w:val="top"/>
          </w:tcPr>
          <w:p w14:paraId="73F4B9FB">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3E9D7E00">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3648" w:type="dxa"/>
            <w:gridSpan w:val="2"/>
            <w:tcBorders>
              <w:top w:val="nil"/>
              <w:left w:val="single" w:color="000000" w:sz="4" w:space="0"/>
              <w:bottom w:val="single" w:color="000000" w:sz="4" w:space="0"/>
              <w:right w:val="single" w:color="000000" w:sz="4" w:space="0"/>
            </w:tcBorders>
            <w:shd w:val="clear" w:color="auto" w:fill="auto"/>
            <w:vAlign w:val="center"/>
          </w:tcPr>
          <w:p w14:paraId="7248AC15">
            <w:pPr>
              <w:pStyle w:val="5"/>
              <w:widowControl/>
              <w:spacing w:line="360" w:lineRule="auto"/>
              <w:rPr>
                <w:lang w:val="en-US"/>
              </w:rPr>
            </w:pPr>
            <w:r>
              <w:rPr>
                <w:rFonts w:hint="eastAsia" w:ascii="宋体" w:hAnsi="宋体" w:eastAsia="宋体" w:cs="宋体"/>
                <w:sz w:val="24"/>
                <w:szCs w:val="24"/>
              </w:rPr>
              <w:t>（</w:t>
            </w:r>
            <w:r>
              <w:rPr>
                <w:rFonts w:hint="eastAsia" w:ascii="宋体" w:hAnsi="宋体" w:eastAsia="宋体" w:cs="宋体"/>
                <w:sz w:val="24"/>
                <w:szCs w:val="24"/>
                <w:lang w:val="en-US"/>
              </w:rPr>
              <w:t>1</w:t>
            </w:r>
            <w:r>
              <w:rPr>
                <w:rFonts w:hint="eastAsia" w:ascii="宋体" w:hAnsi="宋体" w:eastAsia="宋体" w:cs="宋体"/>
                <w:sz w:val="24"/>
                <w:szCs w:val="24"/>
              </w:rPr>
              <w:t>）院内停车场有专人管理，严禁非准入车辆（非就医人员车辆和非本院职工车辆）进入与停放，正确疏导进出医院各种车辆和行人，泊车安全整齐，巡查提醒车主关好车窗、锁好车门，防止发生车辆碰撞、被盗、堵塞通道现象，确保院内交通安全。</w:t>
            </w:r>
          </w:p>
        </w:tc>
        <w:tc>
          <w:tcPr>
            <w:tcW w:w="3531" w:type="dxa"/>
            <w:tcBorders>
              <w:top w:val="nil"/>
              <w:left w:val="nil"/>
              <w:bottom w:val="single" w:color="000000" w:sz="4" w:space="0"/>
              <w:right w:val="single" w:color="000000" w:sz="4" w:space="0"/>
            </w:tcBorders>
            <w:shd w:val="clear" w:color="auto" w:fill="auto"/>
            <w:vAlign w:val="center"/>
          </w:tcPr>
          <w:p w14:paraId="020CA3E4">
            <w:pPr>
              <w:pStyle w:val="5"/>
              <w:widowControl/>
              <w:spacing w:line="360" w:lineRule="auto"/>
              <w:ind w:left="0" w:firstLine="480" w:firstLineChars="200"/>
              <w:rPr>
                <w:lang w:val="en-US"/>
              </w:rPr>
            </w:pPr>
            <w:r>
              <w:rPr>
                <w:rFonts w:hint="eastAsia" w:ascii="宋体" w:hAnsi="宋体" w:eastAsia="宋体" w:cs="宋体"/>
                <w:sz w:val="24"/>
                <w:szCs w:val="24"/>
              </w:rPr>
              <w:t>发现非准入车辆在院内停放每辆次扣</w:t>
            </w:r>
            <w:r>
              <w:rPr>
                <w:rFonts w:hint="eastAsia" w:ascii="宋体" w:hAnsi="宋体" w:eastAsia="宋体" w:cs="宋体"/>
                <w:sz w:val="24"/>
                <w:szCs w:val="24"/>
                <w:lang w:val="en-US"/>
              </w:rPr>
              <w:t>0.2</w:t>
            </w:r>
            <w:r>
              <w:rPr>
                <w:rFonts w:hint="eastAsia" w:ascii="宋体" w:hAnsi="宋体" w:eastAsia="宋体" w:cs="宋体"/>
                <w:sz w:val="24"/>
                <w:szCs w:val="24"/>
              </w:rPr>
              <w:t>分；车辆停放堵塞消防通道或不按规定区域停车，每辆次扣</w:t>
            </w:r>
            <w:r>
              <w:rPr>
                <w:rFonts w:hint="eastAsia" w:ascii="宋体" w:hAnsi="宋体" w:eastAsia="宋体" w:cs="宋体"/>
                <w:sz w:val="24"/>
                <w:szCs w:val="24"/>
                <w:lang w:val="en-US"/>
              </w:rPr>
              <w:t>0.5</w:t>
            </w:r>
            <w:r>
              <w:rPr>
                <w:rFonts w:hint="eastAsia" w:ascii="宋体" w:hAnsi="宋体" w:eastAsia="宋体" w:cs="宋体"/>
                <w:sz w:val="24"/>
                <w:szCs w:val="24"/>
              </w:rPr>
              <w:t>分，因此造成不良后果扣完该项分值并追究管理责任；不按规定朝向停放每辆次扣</w:t>
            </w:r>
            <w:r>
              <w:rPr>
                <w:rFonts w:hint="eastAsia" w:ascii="宋体" w:hAnsi="宋体" w:eastAsia="宋体" w:cs="宋体"/>
                <w:sz w:val="24"/>
                <w:szCs w:val="24"/>
                <w:lang w:val="en-US"/>
              </w:rPr>
              <w:t>0.2</w:t>
            </w:r>
            <w:r>
              <w:rPr>
                <w:rFonts w:hint="eastAsia" w:ascii="宋体" w:hAnsi="宋体" w:eastAsia="宋体" w:cs="宋体"/>
                <w:sz w:val="24"/>
                <w:szCs w:val="24"/>
              </w:rPr>
              <w:t>分；因管理不善发生车辆被碰、刮、撞及被盗等每次扣</w:t>
            </w:r>
            <w:r>
              <w:rPr>
                <w:rFonts w:hint="eastAsia" w:ascii="宋体" w:hAnsi="宋体" w:eastAsia="宋体" w:cs="宋体"/>
                <w:sz w:val="24"/>
                <w:szCs w:val="24"/>
                <w:lang w:val="en-US"/>
              </w:rPr>
              <w:t>1</w:t>
            </w:r>
            <w:r>
              <w:rPr>
                <w:rFonts w:hint="eastAsia" w:ascii="宋体" w:hAnsi="宋体" w:eastAsia="宋体" w:cs="宋体"/>
                <w:sz w:val="24"/>
                <w:szCs w:val="24"/>
              </w:rPr>
              <w:t>分，并承担理赔责任。因疏导不力造成院内严重堵车，每次扣</w:t>
            </w:r>
            <w:r>
              <w:rPr>
                <w:rFonts w:hint="eastAsia" w:ascii="宋体" w:hAnsi="宋体" w:eastAsia="宋体" w:cs="宋体"/>
                <w:sz w:val="24"/>
                <w:szCs w:val="24"/>
                <w:lang w:val="en-US"/>
              </w:rPr>
              <w:t>2</w:t>
            </w:r>
            <w:r>
              <w:rPr>
                <w:rFonts w:hint="eastAsia" w:ascii="宋体" w:hAnsi="宋体" w:eastAsia="宋体" w:cs="宋体"/>
                <w:sz w:val="24"/>
                <w:szCs w:val="24"/>
              </w:rPr>
              <w:t>分。</w:t>
            </w:r>
          </w:p>
        </w:tc>
        <w:tc>
          <w:tcPr>
            <w:tcW w:w="989" w:type="dxa"/>
            <w:tcBorders>
              <w:top w:val="nil"/>
              <w:left w:val="nil"/>
              <w:bottom w:val="single" w:color="000000" w:sz="4" w:space="0"/>
              <w:right w:val="single" w:color="000000" w:sz="4" w:space="0"/>
            </w:tcBorders>
            <w:shd w:val="clear" w:color="auto" w:fill="auto"/>
            <w:vAlign w:val="top"/>
          </w:tcPr>
          <w:p w14:paraId="6F8D9995">
            <w:pPr>
              <w:keepNext w:val="0"/>
              <w:keepLines w:val="0"/>
              <w:widowControl w:val="0"/>
              <w:suppressLineNumbers w:val="0"/>
              <w:spacing w:before="0" w:beforeAutospacing="0" w:after="160" w:afterAutospacing="0" w:line="276" w:lineRule="auto"/>
              <w:ind w:left="0" w:right="0"/>
              <w:jc w:val="center"/>
              <w:rPr>
                <w:rFonts w:hint="default"/>
                <w:lang w:val="en-US"/>
              </w:rPr>
            </w:pPr>
          </w:p>
        </w:tc>
        <w:tc>
          <w:tcPr>
            <w:tcW w:w="354" w:type="dxa"/>
            <w:tcBorders>
              <w:top w:val="nil"/>
              <w:left w:val="nil"/>
              <w:bottom w:val="nil"/>
              <w:right w:val="nil"/>
            </w:tcBorders>
            <w:shd w:val="clear" w:color="auto" w:fill="auto"/>
            <w:vAlign w:val="top"/>
          </w:tcPr>
          <w:p w14:paraId="58666EAB">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4F510179">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3648" w:type="dxa"/>
            <w:gridSpan w:val="2"/>
            <w:tcBorders>
              <w:top w:val="nil"/>
              <w:left w:val="single" w:color="000000" w:sz="4" w:space="0"/>
              <w:bottom w:val="single" w:color="000000" w:sz="4" w:space="0"/>
              <w:right w:val="single" w:color="000000" w:sz="4" w:space="0"/>
            </w:tcBorders>
            <w:shd w:val="clear" w:color="auto" w:fill="auto"/>
            <w:vAlign w:val="center"/>
          </w:tcPr>
          <w:p w14:paraId="311F1A53">
            <w:pPr>
              <w:pStyle w:val="5"/>
              <w:widowControl/>
              <w:spacing w:line="360" w:lineRule="auto"/>
              <w:rPr>
                <w:lang w:val="en-US"/>
              </w:rPr>
            </w:pPr>
            <w:r>
              <w:rPr>
                <w:rFonts w:hint="eastAsia" w:ascii="宋体" w:hAnsi="宋体" w:eastAsia="宋体" w:cs="宋体"/>
                <w:sz w:val="24"/>
                <w:szCs w:val="24"/>
              </w:rPr>
              <w:t>（</w:t>
            </w:r>
            <w:r>
              <w:rPr>
                <w:rFonts w:hint="eastAsia" w:ascii="宋体" w:hAnsi="宋体" w:eastAsia="宋体" w:cs="宋体"/>
                <w:sz w:val="24"/>
                <w:szCs w:val="24"/>
                <w:lang w:val="en-US"/>
              </w:rPr>
              <w:t>2</w:t>
            </w:r>
            <w:r>
              <w:rPr>
                <w:rFonts w:hint="eastAsia" w:ascii="宋体" w:hAnsi="宋体" w:eastAsia="宋体" w:cs="宋体"/>
                <w:sz w:val="24"/>
                <w:szCs w:val="24"/>
              </w:rPr>
              <w:t>）非机动车辆须按指定位置集中停放整齐，防止损坏丢失；院内严禁骑行非机动车辆。</w:t>
            </w:r>
          </w:p>
        </w:tc>
        <w:tc>
          <w:tcPr>
            <w:tcW w:w="3531" w:type="dxa"/>
            <w:tcBorders>
              <w:top w:val="nil"/>
              <w:left w:val="nil"/>
              <w:bottom w:val="single" w:color="000000" w:sz="4" w:space="0"/>
              <w:right w:val="single" w:color="000000" w:sz="4" w:space="0"/>
            </w:tcBorders>
            <w:shd w:val="clear" w:color="auto" w:fill="auto"/>
            <w:vAlign w:val="center"/>
          </w:tcPr>
          <w:p w14:paraId="68D66100">
            <w:pPr>
              <w:pStyle w:val="5"/>
              <w:widowControl/>
              <w:spacing w:line="360" w:lineRule="auto"/>
              <w:rPr>
                <w:lang w:val="en-US"/>
              </w:rPr>
            </w:pPr>
            <w:r>
              <w:rPr>
                <w:rFonts w:hint="eastAsia" w:ascii="宋体" w:hAnsi="宋体" w:eastAsia="宋体" w:cs="宋体"/>
                <w:sz w:val="24"/>
                <w:szCs w:val="24"/>
              </w:rPr>
              <w:t>非机动车乱停放每辆次扣</w:t>
            </w:r>
            <w:r>
              <w:rPr>
                <w:rFonts w:hint="eastAsia" w:ascii="宋体" w:hAnsi="宋体" w:eastAsia="宋体" w:cs="宋体"/>
                <w:sz w:val="24"/>
                <w:szCs w:val="24"/>
                <w:lang w:val="en-US"/>
              </w:rPr>
              <w:t>0.5</w:t>
            </w:r>
            <w:r>
              <w:rPr>
                <w:rFonts w:hint="eastAsia" w:ascii="宋体" w:hAnsi="宋体" w:eastAsia="宋体" w:cs="宋体"/>
                <w:sz w:val="24"/>
                <w:szCs w:val="24"/>
              </w:rPr>
              <w:t>分；院内骑行非机动车每辆次扣</w:t>
            </w:r>
            <w:r>
              <w:rPr>
                <w:rFonts w:hint="eastAsia" w:ascii="宋体" w:hAnsi="宋体" w:eastAsia="宋体" w:cs="宋体"/>
                <w:sz w:val="24"/>
                <w:szCs w:val="24"/>
                <w:lang w:val="en-US"/>
              </w:rPr>
              <w:t>1</w:t>
            </w:r>
            <w:r>
              <w:rPr>
                <w:rFonts w:hint="eastAsia" w:ascii="宋体" w:hAnsi="宋体" w:eastAsia="宋体" w:cs="宋体"/>
                <w:sz w:val="24"/>
                <w:szCs w:val="24"/>
              </w:rPr>
              <w:t>分；车辆损坏或丢失须承担理赔责任并且扣</w:t>
            </w:r>
            <w:r>
              <w:rPr>
                <w:rFonts w:hint="eastAsia" w:ascii="宋体" w:hAnsi="宋体" w:eastAsia="宋体" w:cs="宋体"/>
                <w:sz w:val="24"/>
                <w:szCs w:val="24"/>
                <w:lang w:val="en-US"/>
              </w:rPr>
              <w:t>3</w:t>
            </w:r>
            <w:r>
              <w:rPr>
                <w:rFonts w:hint="eastAsia" w:ascii="宋体" w:hAnsi="宋体" w:eastAsia="宋体" w:cs="宋体"/>
                <w:sz w:val="24"/>
                <w:szCs w:val="24"/>
              </w:rPr>
              <w:t>分。</w:t>
            </w:r>
          </w:p>
        </w:tc>
        <w:tc>
          <w:tcPr>
            <w:tcW w:w="989" w:type="dxa"/>
            <w:tcBorders>
              <w:top w:val="nil"/>
              <w:left w:val="nil"/>
              <w:bottom w:val="single" w:color="000000" w:sz="4" w:space="0"/>
              <w:right w:val="single" w:color="000000" w:sz="4" w:space="0"/>
            </w:tcBorders>
            <w:shd w:val="clear" w:color="auto" w:fill="auto"/>
            <w:vAlign w:val="top"/>
          </w:tcPr>
          <w:p w14:paraId="506AB83A">
            <w:pPr>
              <w:keepNext w:val="0"/>
              <w:keepLines w:val="0"/>
              <w:widowControl w:val="0"/>
              <w:suppressLineNumbers w:val="0"/>
              <w:spacing w:before="0" w:beforeAutospacing="0" w:after="160" w:afterAutospacing="0" w:line="276" w:lineRule="auto"/>
              <w:ind w:left="0" w:right="0"/>
              <w:jc w:val="center"/>
              <w:rPr>
                <w:rFonts w:hint="default"/>
                <w:lang w:val="en-US"/>
              </w:rPr>
            </w:pPr>
          </w:p>
        </w:tc>
        <w:tc>
          <w:tcPr>
            <w:tcW w:w="354" w:type="dxa"/>
            <w:tcBorders>
              <w:top w:val="nil"/>
              <w:left w:val="nil"/>
              <w:bottom w:val="nil"/>
              <w:right w:val="nil"/>
            </w:tcBorders>
            <w:shd w:val="clear" w:color="auto" w:fill="auto"/>
            <w:vAlign w:val="top"/>
          </w:tcPr>
          <w:p w14:paraId="10B5AA7E">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52CAFC18">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7179" w:type="dxa"/>
            <w:gridSpan w:val="3"/>
            <w:tcBorders>
              <w:top w:val="nil"/>
              <w:left w:val="single" w:color="000000" w:sz="4" w:space="0"/>
              <w:bottom w:val="single" w:color="000000" w:sz="4" w:space="0"/>
              <w:right w:val="single" w:color="000000" w:sz="4" w:space="0"/>
            </w:tcBorders>
            <w:shd w:val="clear" w:color="auto" w:fill="auto"/>
            <w:vAlign w:val="top"/>
          </w:tcPr>
          <w:p w14:paraId="2586A274">
            <w:pPr>
              <w:keepNext w:val="0"/>
              <w:keepLines w:val="0"/>
              <w:widowControl w:val="0"/>
              <w:suppressLineNumbers w:val="0"/>
              <w:spacing w:before="0" w:beforeAutospacing="0" w:after="160" w:afterAutospacing="0" w:line="276" w:lineRule="auto"/>
              <w:ind w:left="0" w:right="0"/>
              <w:jc w:val="center"/>
              <w:rPr>
                <w:rFonts w:hint="default"/>
                <w:lang w:val="en-US"/>
              </w:rPr>
            </w:pPr>
            <w:r>
              <w:rPr>
                <w:rFonts w:hint="eastAsia" w:ascii="Calibri" w:hAnsi="Calibri" w:eastAsia="宋体" w:cs="宋体"/>
                <w:color w:val="000000"/>
                <w:kern w:val="2"/>
                <w:sz w:val="21"/>
                <w:szCs w:val="24"/>
                <w:lang w:val="en-US" w:eastAsia="zh-CN" w:bidi="ar"/>
              </w:rPr>
              <w:t>消防管理（</w:t>
            </w:r>
            <w:r>
              <w:rPr>
                <w:rFonts w:hint="default" w:ascii="Calibri" w:hAnsi="Calibri" w:eastAsia="宋体" w:cs="Times New Roman"/>
                <w:color w:val="000000"/>
                <w:kern w:val="2"/>
                <w:sz w:val="21"/>
                <w:szCs w:val="24"/>
                <w:lang w:val="en-US" w:eastAsia="zh-CN" w:bidi="ar"/>
              </w:rPr>
              <w:t>40</w:t>
            </w:r>
            <w:r>
              <w:rPr>
                <w:rFonts w:hint="eastAsia" w:ascii="Calibri" w:hAnsi="Calibri" w:eastAsia="宋体" w:cs="宋体"/>
                <w:color w:val="000000"/>
                <w:kern w:val="2"/>
                <w:sz w:val="21"/>
                <w:szCs w:val="24"/>
                <w:lang w:val="en-US" w:eastAsia="zh-CN" w:bidi="ar"/>
              </w:rPr>
              <w:t>分）</w:t>
            </w:r>
          </w:p>
        </w:tc>
        <w:tc>
          <w:tcPr>
            <w:tcW w:w="989" w:type="dxa"/>
            <w:tcBorders>
              <w:top w:val="nil"/>
              <w:left w:val="nil"/>
              <w:bottom w:val="single" w:color="000000" w:sz="4" w:space="0"/>
              <w:right w:val="single" w:color="000000" w:sz="4" w:space="0"/>
            </w:tcBorders>
            <w:shd w:val="clear" w:color="auto" w:fill="auto"/>
            <w:vAlign w:val="top"/>
          </w:tcPr>
          <w:p w14:paraId="36FCDDF4">
            <w:pPr>
              <w:keepNext w:val="0"/>
              <w:keepLines w:val="0"/>
              <w:widowControl w:val="0"/>
              <w:suppressLineNumbers w:val="0"/>
              <w:spacing w:before="0" w:beforeAutospacing="0" w:after="160" w:afterAutospacing="0" w:line="276" w:lineRule="auto"/>
              <w:ind w:left="0" w:right="0" w:firstLine="420"/>
              <w:jc w:val="center"/>
              <w:rPr>
                <w:rFonts w:hint="default"/>
                <w:lang w:val="en-US"/>
              </w:rPr>
            </w:pPr>
          </w:p>
        </w:tc>
        <w:tc>
          <w:tcPr>
            <w:tcW w:w="354" w:type="dxa"/>
            <w:tcBorders>
              <w:top w:val="nil"/>
              <w:left w:val="nil"/>
              <w:bottom w:val="nil"/>
              <w:right w:val="nil"/>
            </w:tcBorders>
            <w:shd w:val="clear" w:color="auto" w:fill="auto"/>
            <w:vAlign w:val="top"/>
          </w:tcPr>
          <w:p w14:paraId="6BA2AF88">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69063B40">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3648" w:type="dxa"/>
            <w:gridSpan w:val="2"/>
            <w:tcBorders>
              <w:top w:val="nil"/>
              <w:left w:val="single" w:color="000000" w:sz="4" w:space="0"/>
              <w:bottom w:val="single" w:color="000000" w:sz="4" w:space="0"/>
              <w:right w:val="single" w:color="000000" w:sz="4" w:space="0"/>
            </w:tcBorders>
            <w:shd w:val="clear" w:color="auto" w:fill="auto"/>
            <w:vAlign w:val="center"/>
          </w:tcPr>
          <w:p w14:paraId="6AA236F4">
            <w:pPr>
              <w:pStyle w:val="5"/>
              <w:widowControl/>
              <w:spacing w:line="360" w:lineRule="auto"/>
              <w:rPr>
                <w:lang w:val="en-US"/>
              </w:rPr>
            </w:pPr>
            <w:r>
              <w:rPr>
                <w:rFonts w:hint="eastAsia" w:ascii="宋体" w:hAnsi="宋体" w:eastAsia="宋体" w:cs="宋体"/>
                <w:sz w:val="24"/>
                <w:szCs w:val="24"/>
              </w:rPr>
              <w:t>（</w:t>
            </w:r>
            <w:r>
              <w:rPr>
                <w:rFonts w:hint="eastAsia" w:ascii="宋体" w:hAnsi="宋体" w:eastAsia="宋体" w:cs="宋体"/>
                <w:sz w:val="24"/>
                <w:szCs w:val="24"/>
                <w:lang w:val="en-US"/>
              </w:rPr>
              <w:t>1</w:t>
            </w:r>
            <w:r>
              <w:rPr>
                <w:rFonts w:hint="eastAsia" w:ascii="宋体" w:hAnsi="宋体" w:eastAsia="宋体" w:cs="宋体"/>
                <w:sz w:val="24"/>
                <w:szCs w:val="24"/>
              </w:rPr>
              <w:t>）健全消防管理制度、措施、年度培训计划、应急预案、演练方案、消防档案等，并抓好落实。每周开展一次</w:t>
            </w:r>
            <w:r>
              <w:rPr>
                <w:rFonts w:hint="eastAsia" w:ascii="宋体" w:hAnsi="宋体" w:eastAsia="宋体" w:cs="宋体"/>
                <w:sz w:val="24"/>
                <w:szCs w:val="24"/>
                <w:lang w:val="en-US"/>
              </w:rPr>
              <w:t>1</w:t>
            </w:r>
            <w:r>
              <w:rPr>
                <w:rFonts w:hint="eastAsia" w:ascii="宋体" w:hAnsi="宋体" w:eastAsia="宋体" w:cs="宋体"/>
                <w:sz w:val="24"/>
                <w:szCs w:val="24"/>
              </w:rPr>
              <w:t>次保安队消防或治安应急教育培训演练；每年</w:t>
            </w:r>
            <w:r>
              <w:rPr>
                <w:rFonts w:hint="eastAsia" w:ascii="宋体" w:hAnsi="宋体" w:eastAsia="宋体" w:cs="宋体"/>
                <w:sz w:val="24"/>
                <w:szCs w:val="24"/>
                <w:lang w:val="en-US"/>
              </w:rPr>
              <w:t>1</w:t>
            </w:r>
            <w:r>
              <w:rPr>
                <w:rFonts w:hint="eastAsia" w:ascii="宋体" w:hAnsi="宋体" w:eastAsia="宋体" w:cs="宋体"/>
                <w:sz w:val="24"/>
                <w:szCs w:val="24"/>
              </w:rPr>
              <w:t>次进行重大的消防演练或防灾应急演习）</w:t>
            </w:r>
          </w:p>
        </w:tc>
        <w:tc>
          <w:tcPr>
            <w:tcW w:w="3531" w:type="dxa"/>
            <w:tcBorders>
              <w:top w:val="nil"/>
              <w:left w:val="nil"/>
              <w:bottom w:val="single" w:color="000000" w:sz="4" w:space="0"/>
              <w:right w:val="single" w:color="000000" w:sz="4" w:space="0"/>
            </w:tcBorders>
            <w:shd w:val="clear" w:color="auto" w:fill="auto"/>
            <w:vAlign w:val="center"/>
          </w:tcPr>
          <w:p w14:paraId="6FD8C8C2">
            <w:pPr>
              <w:pStyle w:val="5"/>
              <w:widowControl/>
              <w:spacing w:line="360" w:lineRule="auto"/>
              <w:ind w:left="0" w:firstLine="480" w:firstLineChars="200"/>
              <w:rPr>
                <w:lang w:val="en-US"/>
              </w:rPr>
            </w:pPr>
            <w:r>
              <w:rPr>
                <w:rFonts w:hint="eastAsia" w:ascii="宋体" w:hAnsi="宋体" w:eastAsia="宋体" w:cs="宋体"/>
                <w:sz w:val="24"/>
                <w:szCs w:val="24"/>
              </w:rPr>
              <w:t>每缺一项扣</w:t>
            </w:r>
            <w:r>
              <w:rPr>
                <w:rFonts w:hint="eastAsia" w:ascii="宋体" w:hAnsi="宋体" w:eastAsia="宋体" w:cs="宋体"/>
                <w:sz w:val="24"/>
                <w:szCs w:val="24"/>
                <w:lang w:val="en-US"/>
              </w:rPr>
              <w:t>1</w:t>
            </w:r>
            <w:r>
              <w:rPr>
                <w:rFonts w:hint="eastAsia" w:ascii="宋体" w:hAnsi="宋体" w:eastAsia="宋体" w:cs="宋体"/>
                <w:sz w:val="24"/>
                <w:szCs w:val="24"/>
              </w:rPr>
              <w:t>分，内容不全酌情扣</w:t>
            </w:r>
            <w:r>
              <w:rPr>
                <w:rFonts w:hint="eastAsia" w:ascii="宋体" w:hAnsi="宋体" w:eastAsia="宋体" w:cs="宋体"/>
                <w:sz w:val="24"/>
                <w:szCs w:val="24"/>
                <w:lang w:val="en-US"/>
              </w:rPr>
              <w:t>0.1</w:t>
            </w:r>
            <w:r>
              <w:rPr>
                <w:rFonts w:hint="eastAsia" w:ascii="宋体" w:hAnsi="宋体" w:eastAsia="宋体" w:cs="宋体"/>
                <w:sz w:val="24"/>
                <w:szCs w:val="24"/>
              </w:rPr>
              <w:t>—</w:t>
            </w:r>
            <w:r>
              <w:rPr>
                <w:rFonts w:hint="eastAsia" w:ascii="宋体" w:hAnsi="宋体" w:eastAsia="宋体" w:cs="宋体"/>
                <w:sz w:val="24"/>
                <w:szCs w:val="24"/>
                <w:lang w:val="en-US"/>
              </w:rPr>
              <w:t>2</w:t>
            </w:r>
            <w:r>
              <w:rPr>
                <w:rFonts w:hint="eastAsia" w:ascii="宋体" w:hAnsi="宋体" w:eastAsia="宋体" w:cs="宋体"/>
                <w:sz w:val="24"/>
                <w:szCs w:val="24"/>
              </w:rPr>
              <w:t>分；制度、措施、计划、预案、方案不落实，每发现一案次酌情扣</w:t>
            </w:r>
            <w:r>
              <w:rPr>
                <w:rFonts w:hint="eastAsia" w:ascii="宋体" w:hAnsi="宋体" w:eastAsia="宋体" w:cs="宋体"/>
                <w:sz w:val="24"/>
                <w:szCs w:val="24"/>
                <w:lang w:val="en-US"/>
              </w:rPr>
              <w:t>1</w:t>
            </w:r>
            <w:r>
              <w:rPr>
                <w:rFonts w:hint="eastAsia" w:ascii="宋体" w:hAnsi="宋体" w:eastAsia="宋体" w:cs="宋体"/>
                <w:sz w:val="24"/>
                <w:szCs w:val="24"/>
              </w:rPr>
              <w:t>—</w:t>
            </w:r>
            <w:r>
              <w:rPr>
                <w:rFonts w:hint="eastAsia" w:ascii="宋体" w:hAnsi="宋体" w:eastAsia="宋体" w:cs="宋体"/>
                <w:sz w:val="24"/>
                <w:szCs w:val="24"/>
                <w:lang w:val="en-US"/>
              </w:rPr>
              <w:t>3</w:t>
            </w:r>
            <w:r>
              <w:rPr>
                <w:rFonts w:hint="eastAsia" w:ascii="宋体" w:hAnsi="宋体" w:eastAsia="宋体" w:cs="宋体"/>
                <w:sz w:val="24"/>
                <w:szCs w:val="24"/>
              </w:rPr>
              <w:t>分。未按要求开展应急演练的每次扣</w:t>
            </w:r>
            <w:r>
              <w:rPr>
                <w:rFonts w:hint="eastAsia" w:ascii="宋体" w:hAnsi="宋体" w:eastAsia="宋体" w:cs="宋体"/>
                <w:sz w:val="24"/>
                <w:szCs w:val="24"/>
                <w:lang w:val="en-US"/>
              </w:rPr>
              <w:t>0.5</w:t>
            </w:r>
            <w:r>
              <w:rPr>
                <w:rFonts w:hint="eastAsia" w:ascii="宋体" w:hAnsi="宋体" w:eastAsia="宋体" w:cs="宋体"/>
                <w:sz w:val="24"/>
                <w:szCs w:val="24"/>
              </w:rPr>
              <w:t>分。</w:t>
            </w:r>
          </w:p>
        </w:tc>
        <w:tc>
          <w:tcPr>
            <w:tcW w:w="989" w:type="dxa"/>
            <w:tcBorders>
              <w:top w:val="nil"/>
              <w:left w:val="nil"/>
              <w:bottom w:val="single" w:color="000000" w:sz="4" w:space="0"/>
              <w:right w:val="single" w:color="000000" w:sz="4" w:space="0"/>
            </w:tcBorders>
            <w:shd w:val="clear" w:color="auto" w:fill="auto"/>
            <w:vAlign w:val="top"/>
          </w:tcPr>
          <w:p w14:paraId="416C4D49">
            <w:pPr>
              <w:keepNext w:val="0"/>
              <w:keepLines w:val="0"/>
              <w:widowControl w:val="0"/>
              <w:suppressLineNumbers w:val="0"/>
              <w:spacing w:before="0" w:beforeAutospacing="0" w:after="160" w:afterAutospacing="0" w:line="276" w:lineRule="auto"/>
              <w:ind w:left="0" w:right="0"/>
              <w:jc w:val="center"/>
              <w:rPr>
                <w:rFonts w:hint="default"/>
                <w:lang w:val="en-US"/>
              </w:rPr>
            </w:pPr>
          </w:p>
        </w:tc>
        <w:tc>
          <w:tcPr>
            <w:tcW w:w="354" w:type="dxa"/>
            <w:tcBorders>
              <w:top w:val="nil"/>
              <w:left w:val="nil"/>
              <w:bottom w:val="nil"/>
              <w:right w:val="nil"/>
            </w:tcBorders>
            <w:shd w:val="clear" w:color="auto" w:fill="auto"/>
            <w:vAlign w:val="top"/>
          </w:tcPr>
          <w:p w14:paraId="0B654D27">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3E4442BD">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3648" w:type="dxa"/>
            <w:gridSpan w:val="2"/>
            <w:tcBorders>
              <w:top w:val="nil"/>
              <w:left w:val="single" w:color="000000" w:sz="4" w:space="0"/>
              <w:bottom w:val="single" w:color="000000" w:sz="4" w:space="0"/>
              <w:right w:val="single" w:color="000000" w:sz="4" w:space="0"/>
            </w:tcBorders>
            <w:shd w:val="clear" w:color="auto" w:fill="auto"/>
            <w:vAlign w:val="center"/>
          </w:tcPr>
          <w:p w14:paraId="5039791F">
            <w:pPr>
              <w:pStyle w:val="5"/>
              <w:widowControl/>
              <w:spacing w:line="360" w:lineRule="auto"/>
              <w:rPr>
                <w:lang w:val="en-US"/>
              </w:rPr>
            </w:pPr>
            <w:r>
              <w:rPr>
                <w:rFonts w:hint="eastAsia" w:ascii="宋体" w:hAnsi="宋体" w:eastAsia="宋体" w:cs="宋体"/>
                <w:sz w:val="24"/>
                <w:szCs w:val="24"/>
              </w:rPr>
              <w:t>（</w:t>
            </w:r>
            <w:r>
              <w:rPr>
                <w:rFonts w:hint="eastAsia" w:ascii="宋体" w:hAnsi="宋体" w:eastAsia="宋体" w:cs="宋体"/>
                <w:sz w:val="24"/>
                <w:szCs w:val="24"/>
                <w:lang w:val="en-US"/>
              </w:rPr>
              <w:t>2</w:t>
            </w:r>
            <w:r>
              <w:rPr>
                <w:rFonts w:hint="eastAsia" w:ascii="宋体" w:hAnsi="宋体" w:eastAsia="宋体" w:cs="宋体"/>
                <w:sz w:val="24"/>
                <w:szCs w:val="24"/>
              </w:rPr>
              <w:t>）保安员必须掌握消防安全管理四个能力和预防火灾应知应会，能及时处理一般的消防隐患问题；熟悉消防应急预案，积极主动配合指挥员正确果断处理各种火险、火灾。</w:t>
            </w:r>
          </w:p>
        </w:tc>
        <w:tc>
          <w:tcPr>
            <w:tcW w:w="3531" w:type="dxa"/>
            <w:tcBorders>
              <w:top w:val="nil"/>
              <w:left w:val="nil"/>
              <w:bottom w:val="single" w:color="000000" w:sz="4" w:space="0"/>
              <w:right w:val="single" w:color="000000" w:sz="4" w:space="0"/>
            </w:tcBorders>
            <w:shd w:val="clear" w:color="auto" w:fill="auto"/>
            <w:vAlign w:val="center"/>
          </w:tcPr>
          <w:p w14:paraId="602C49C5">
            <w:pPr>
              <w:pStyle w:val="5"/>
              <w:widowControl/>
              <w:spacing w:line="360" w:lineRule="auto"/>
              <w:ind w:left="0" w:firstLine="480" w:firstLineChars="200"/>
              <w:rPr>
                <w:lang w:val="en-US"/>
              </w:rPr>
            </w:pPr>
            <w:r>
              <w:rPr>
                <w:rFonts w:hint="eastAsia" w:ascii="宋体" w:hAnsi="宋体" w:eastAsia="宋体" w:cs="宋体"/>
                <w:sz w:val="24"/>
                <w:szCs w:val="24"/>
              </w:rPr>
              <w:t>员工不具有消防管理四个能力或未掌握预防火灾应知应会，酌情每人次扣</w:t>
            </w:r>
            <w:r>
              <w:rPr>
                <w:rFonts w:hint="eastAsia" w:ascii="宋体" w:hAnsi="宋体" w:eastAsia="宋体" w:cs="宋体"/>
                <w:sz w:val="24"/>
                <w:szCs w:val="24"/>
                <w:lang w:val="en-US"/>
              </w:rPr>
              <w:t>0.2</w:t>
            </w:r>
            <w:r>
              <w:rPr>
                <w:rFonts w:hint="eastAsia" w:ascii="宋体" w:hAnsi="宋体" w:eastAsia="宋体" w:cs="宋体"/>
                <w:sz w:val="24"/>
                <w:szCs w:val="24"/>
              </w:rPr>
              <w:t>—</w:t>
            </w:r>
            <w:r>
              <w:rPr>
                <w:rFonts w:hint="eastAsia" w:ascii="宋体" w:hAnsi="宋体" w:eastAsia="宋体" w:cs="宋体"/>
                <w:sz w:val="24"/>
                <w:szCs w:val="24"/>
                <w:lang w:val="en-US"/>
              </w:rPr>
              <w:t>1</w:t>
            </w:r>
            <w:r>
              <w:rPr>
                <w:rFonts w:hint="eastAsia" w:ascii="宋体" w:hAnsi="宋体" w:eastAsia="宋体" w:cs="宋体"/>
                <w:sz w:val="24"/>
                <w:szCs w:val="24"/>
              </w:rPr>
              <w:t>分；不熟悉消防应急预案每人次扣</w:t>
            </w:r>
            <w:r>
              <w:rPr>
                <w:rFonts w:hint="eastAsia" w:ascii="宋体" w:hAnsi="宋体" w:eastAsia="宋体" w:cs="宋体"/>
                <w:sz w:val="24"/>
                <w:szCs w:val="24"/>
                <w:lang w:val="en-US"/>
              </w:rPr>
              <w:t>0.3</w:t>
            </w:r>
            <w:r>
              <w:rPr>
                <w:rFonts w:hint="eastAsia" w:ascii="宋体" w:hAnsi="宋体" w:eastAsia="宋体" w:cs="宋体"/>
                <w:sz w:val="24"/>
                <w:szCs w:val="24"/>
              </w:rPr>
              <w:t>—</w:t>
            </w:r>
            <w:r>
              <w:rPr>
                <w:rFonts w:hint="eastAsia" w:ascii="宋体" w:hAnsi="宋体" w:eastAsia="宋体" w:cs="宋体"/>
                <w:sz w:val="24"/>
                <w:szCs w:val="24"/>
                <w:lang w:val="en-US"/>
              </w:rPr>
              <w:t>1</w:t>
            </w:r>
            <w:r>
              <w:rPr>
                <w:rFonts w:hint="eastAsia" w:ascii="宋体" w:hAnsi="宋体" w:eastAsia="宋体" w:cs="宋体"/>
                <w:sz w:val="24"/>
                <w:szCs w:val="24"/>
              </w:rPr>
              <w:t>分；不主动配合指挥员（管理者）处理消防隐患、火险、火灾，每人次扣</w:t>
            </w:r>
            <w:r>
              <w:rPr>
                <w:rFonts w:hint="eastAsia" w:ascii="宋体" w:hAnsi="宋体" w:eastAsia="宋体" w:cs="宋体"/>
                <w:sz w:val="24"/>
                <w:szCs w:val="24"/>
                <w:lang w:val="en-US"/>
              </w:rPr>
              <w:t>2</w:t>
            </w:r>
            <w:r>
              <w:rPr>
                <w:rFonts w:hint="eastAsia" w:ascii="宋体" w:hAnsi="宋体" w:eastAsia="宋体" w:cs="宋体"/>
                <w:sz w:val="24"/>
                <w:szCs w:val="24"/>
              </w:rPr>
              <w:t>分，并追究责任。</w:t>
            </w:r>
          </w:p>
        </w:tc>
        <w:tc>
          <w:tcPr>
            <w:tcW w:w="989" w:type="dxa"/>
            <w:tcBorders>
              <w:top w:val="nil"/>
              <w:left w:val="nil"/>
              <w:bottom w:val="single" w:color="000000" w:sz="4" w:space="0"/>
              <w:right w:val="single" w:color="000000" w:sz="4" w:space="0"/>
            </w:tcBorders>
            <w:shd w:val="clear" w:color="auto" w:fill="auto"/>
            <w:vAlign w:val="top"/>
          </w:tcPr>
          <w:p w14:paraId="1D553C45">
            <w:pPr>
              <w:keepNext w:val="0"/>
              <w:keepLines w:val="0"/>
              <w:widowControl w:val="0"/>
              <w:suppressLineNumbers w:val="0"/>
              <w:spacing w:before="0" w:beforeAutospacing="0" w:after="160" w:afterAutospacing="0" w:line="276" w:lineRule="auto"/>
              <w:ind w:left="0" w:right="0"/>
              <w:jc w:val="center"/>
              <w:rPr>
                <w:rFonts w:hint="default"/>
                <w:lang w:val="en-US"/>
              </w:rPr>
            </w:pPr>
          </w:p>
        </w:tc>
        <w:tc>
          <w:tcPr>
            <w:tcW w:w="354" w:type="dxa"/>
            <w:tcBorders>
              <w:top w:val="nil"/>
              <w:left w:val="nil"/>
              <w:bottom w:val="nil"/>
              <w:right w:val="nil"/>
            </w:tcBorders>
            <w:shd w:val="clear" w:color="auto" w:fill="auto"/>
            <w:vAlign w:val="top"/>
          </w:tcPr>
          <w:p w14:paraId="68A3AE00">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6D4BBEDE">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3648" w:type="dxa"/>
            <w:gridSpan w:val="2"/>
            <w:tcBorders>
              <w:top w:val="nil"/>
              <w:left w:val="single" w:color="000000" w:sz="4" w:space="0"/>
              <w:bottom w:val="single" w:color="000000" w:sz="4" w:space="0"/>
              <w:right w:val="single" w:color="000000" w:sz="4" w:space="0"/>
            </w:tcBorders>
            <w:shd w:val="clear" w:color="auto" w:fill="auto"/>
            <w:vAlign w:val="center"/>
          </w:tcPr>
          <w:p w14:paraId="67FE8ECD">
            <w:pPr>
              <w:pStyle w:val="5"/>
              <w:widowControl/>
              <w:spacing w:line="360" w:lineRule="auto"/>
              <w:rPr>
                <w:lang w:val="en-US"/>
              </w:rPr>
            </w:pPr>
            <w:r>
              <w:rPr>
                <w:rFonts w:hint="eastAsia" w:ascii="宋体" w:hAnsi="宋体" w:eastAsia="宋体" w:cs="宋体"/>
                <w:sz w:val="24"/>
                <w:szCs w:val="24"/>
              </w:rPr>
              <w:t>（</w:t>
            </w:r>
            <w:r>
              <w:rPr>
                <w:rFonts w:hint="eastAsia" w:ascii="宋体" w:hAnsi="宋体" w:eastAsia="宋体" w:cs="宋体"/>
                <w:sz w:val="24"/>
                <w:szCs w:val="24"/>
                <w:lang w:val="en-US"/>
              </w:rPr>
              <w:t>3</w:t>
            </w:r>
            <w:r>
              <w:rPr>
                <w:rFonts w:hint="eastAsia" w:ascii="宋体" w:hAnsi="宋体" w:eastAsia="宋体" w:cs="宋体"/>
                <w:sz w:val="24"/>
                <w:szCs w:val="24"/>
              </w:rPr>
              <w:t>）坚持消防巡查和消防检查，每周</w:t>
            </w:r>
            <w:r>
              <w:rPr>
                <w:rFonts w:hint="eastAsia" w:ascii="宋体" w:hAnsi="宋体" w:eastAsia="宋体" w:cs="宋体"/>
                <w:sz w:val="24"/>
                <w:szCs w:val="24"/>
                <w:lang w:val="en-US"/>
              </w:rPr>
              <w:t>2</w:t>
            </w:r>
            <w:r>
              <w:rPr>
                <w:rFonts w:hint="eastAsia" w:ascii="宋体" w:hAnsi="宋体" w:eastAsia="宋体" w:cs="宋体"/>
                <w:sz w:val="24"/>
                <w:szCs w:val="24"/>
              </w:rPr>
              <w:t>次巡视消防器材和设备，及时发现和消除硬件设施与管理方面的安全隐患，认真做好巡查、检查记录，遇有重大隐患须及时向主管部门报告，确保应急照明设施、疏散指示标志完好，紧急疏散通道畅通。</w:t>
            </w:r>
          </w:p>
        </w:tc>
        <w:tc>
          <w:tcPr>
            <w:tcW w:w="3531" w:type="dxa"/>
            <w:tcBorders>
              <w:top w:val="nil"/>
              <w:left w:val="nil"/>
              <w:bottom w:val="single" w:color="000000" w:sz="4" w:space="0"/>
              <w:right w:val="single" w:color="000000" w:sz="4" w:space="0"/>
            </w:tcBorders>
            <w:shd w:val="clear" w:color="auto" w:fill="auto"/>
            <w:vAlign w:val="center"/>
          </w:tcPr>
          <w:p w14:paraId="571B6D11">
            <w:pPr>
              <w:pStyle w:val="5"/>
              <w:widowControl/>
              <w:spacing w:line="360" w:lineRule="auto"/>
              <w:ind w:left="0" w:firstLine="480" w:firstLineChars="200"/>
              <w:rPr>
                <w:lang w:val="en-US"/>
              </w:rPr>
            </w:pPr>
            <w:r>
              <w:rPr>
                <w:rFonts w:hint="eastAsia" w:ascii="宋体" w:hAnsi="宋体" w:eastAsia="宋体" w:cs="宋体"/>
                <w:sz w:val="24"/>
                <w:szCs w:val="24"/>
              </w:rPr>
              <w:t>未按规定进行消防安全巡查、检查，每次扣</w:t>
            </w:r>
            <w:r>
              <w:rPr>
                <w:rFonts w:hint="eastAsia" w:ascii="宋体" w:hAnsi="宋体" w:eastAsia="宋体" w:cs="宋体"/>
                <w:sz w:val="24"/>
                <w:szCs w:val="24"/>
                <w:lang w:val="en-US"/>
              </w:rPr>
              <w:t>1</w:t>
            </w:r>
            <w:r>
              <w:rPr>
                <w:rFonts w:hint="eastAsia" w:ascii="宋体" w:hAnsi="宋体" w:eastAsia="宋体" w:cs="宋体"/>
                <w:sz w:val="24"/>
                <w:szCs w:val="24"/>
              </w:rPr>
              <w:t>分，漏检每处扣</w:t>
            </w:r>
            <w:r>
              <w:rPr>
                <w:rFonts w:hint="eastAsia" w:ascii="宋体" w:hAnsi="宋体" w:eastAsia="宋体" w:cs="宋体"/>
                <w:sz w:val="24"/>
                <w:szCs w:val="24"/>
                <w:lang w:val="en-US"/>
              </w:rPr>
              <w:t>0.2</w:t>
            </w:r>
            <w:r>
              <w:rPr>
                <w:rFonts w:hint="eastAsia" w:ascii="宋体" w:hAnsi="宋体" w:eastAsia="宋体" w:cs="宋体"/>
                <w:sz w:val="24"/>
                <w:szCs w:val="24"/>
              </w:rPr>
              <w:t>分，明显的隐患未能发现每处扣</w:t>
            </w:r>
            <w:r>
              <w:rPr>
                <w:rFonts w:hint="eastAsia" w:ascii="宋体" w:hAnsi="宋体" w:eastAsia="宋体" w:cs="宋体"/>
                <w:sz w:val="24"/>
                <w:szCs w:val="24"/>
                <w:lang w:val="en-US"/>
              </w:rPr>
              <w:t>1</w:t>
            </w:r>
            <w:r>
              <w:rPr>
                <w:rFonts w:hint="eastAsia" w:ascii="宋体" w:hAnsi="宋体" w:eastAsia="宋体" w:cs="宋体"/>
                <w:sz w:val="24"/>
                <w:szCs w:val="24"/>
              </w:rPr>
              <w:t>分；巡查、检查无记录或记录不全酌情扣</w:t>
            </w:r>
            <w:r>
              <w:rPr>
                <w:rFonts w:hint="eastAsia" w:ascii="宋体" w:hAnsi="宋体" w:eastAsia="宋体" w:cs="宋体"/>
                <w:sz w:val="24"/>
                <w:szCs w:val="24"/>
                <w:lang w:val="en-US"/>
              </w:rPr>
              <w:t>0.2</w:t>
            </w:r>
            <w:r>
              <w:rPr>
                <w:rFonts w:hint="eastAsia" w:ascii="宋体" w:hAnsi="宋体" w:eastAsia="宋体" w:cs="宋体"/>
                <w:sz w:val="24"/>
                <w:szCs w:val="24"/>
              </w:rPr>
              <w:t>—</w:t>
            </w:r>
            <w:r>
              <w:rPr>
                <w:rFonts w:hint="eastAsia" w:ascii="宋体" w:hAnsi="宋体" w:eastAsia="宋体" w:cs="宋体"/>
                <w:sz w:val="24"/>
                <w:szCs w:val="24"/>
                <w:lang w:val="en-US"/>
              </w:rPr>
              <w:t>1</w:t>
            </w:r>
            <w:r>
              <w:rPr>
                <w:rFonts w:hint="eastAsia" w:ascii="宋体" w:hAnsi="宋体" w:eastAsia="宋体" w:cs="宋体"/>
                <w:sz w:val="24"/>
                <w:szCs w:val="24"/>
              </w:rPr>
              <w:t>分；安全隐患不及时上报，每处次扣</w:t>
            </w:r>
            <w:r>
              <w:rPr>
                <w:rFonts w:hint="eastAsia" w:ascii="宋体" w:hAnsi="宋体" w:eastAsia="宋体" w:cs="宋体"/>
                <w:sz w:val="24"/>
                <w:szCs w:val="24"/>
                <w:lang w:val="en-US"/>
              </w:rPr>
              <w:t>1</w:t>
            </w:r>
            <w:r>
              <w:rPr>
                <w:rFonts w:hint="eastAsia" w:ascii="宋体" w:hAnsi="宋体" w:eastAsia="宋体" w:cs="宋体"/>
                <w:sz w:val="24"/>
                <w:szCs w:val="24"/>
              </w:rPr>
              <w:t>分。</w:t>
            </w:r>
          </w:p>
        </w:tc>
        <w:tc>
          <w:tcPr>
            <w:tcW w:w="989" w:type="dxa"/>
            <w:tcBorders>
              <w:top w:val="nil"/>
              <w:left w:val="nil"/>
              <w:bottom w:val="single" w:color="000000" w:sz="4" w:space="0"/>
              <w:right w:val="single" w:color="000000" w:sz="4" w:space="0"/>
            </w:tcBorders>
            <w:shd w:val="clear" w:color="auto" w:fill="auto"/>
            <w:vAlign w:val="top"/>
          </w:tcPr>
          <w:p w14:paraId="28270ADF">
            <w:pPr>
              <w:keepNext w:val="0"/>
              <w:keepLines w:val="0"/>
              <w:widowControl w:val="0"/>
              <w:suppressLineNumbers w:val="0"/>
              <w:spacing w:before="0" w:beforeAutospacing="0" w:after="160" w:afterAutospacing="0" w:line="276" w:lineRule="auto"/>
              <w:ind w:left="0" w:right="0"/>
              <w:jc w:val="center"/>
              <w:rPr>
                <w:rFonts w:hint="default"/>
                <w:lang w:val="en-US"/>
              </w:rPr>
            </w:pPr>
          </w:p>
        </w:tc>
        <w:tc>
          <w:tcPr>
            <w:tcW w:w="354" w:type="dxa"/>
            <w:tcBorders>
              <w:top w:val="nil"/>
              <w:left w:val="nil"/>
              <w:bottom w:val="nil"/>
              <w:right w:val="nil"/>
            </w:tcBorders>
            <w:shd w:val="clear" w:color="auto" w:fill="auto"/>
            <w:vAlign w:val="top"/>
          </w:tcPr>
          <w:p w14:paraId="24A1EC52">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342C35CF">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3648" w:type="dxa"/>
            <w:gridSpan w:val="2"/>
            <w:tcBorders>
              <w:top w:val="nil"/>
              <w:left w:val="single" w:color="000000" w:sz="4" w:space="0"/>
              <w:bottom w:val="single" w:color="000000" w:sz="4" w:space="0"/>
              <w:right w:val="single" w:color="000000" w:sz="4" w:space="0"/>
            </w:tcBorders>
            <w:shd w:val="clear" w:color="auto" w:fill="auto"/>
            <w:vAlign w:val="center"/>
          </w:tcPr>
          <w:p w14:paraId="53882AEA">
            <w:pPr>
              <w:pStyle w:val="5"/>
              <w:widowControl/>
              <w:spacing w:line="360" w:lineRule="auto"/>
              <w:rPr>
                <w:lang w:val="en-US"/>
              </w:rPr>
            </w:pPr>
            <w:r>
              <w:rPr>
                <w:rFonts w:hint="eastAsia" w:ascii="宋体" w:hAnsi="宋体" w:eastAsia="宋体" w:cs="宋体"/>
                <w:sz w:val="24"/>
                <w:szCs w:val="24"/>
              </w:rPr>
              <w:t>（</w:t>
            </w:r>
            <w:r>
              <w:rPr>
                <w:rFonts w:hint="eastAsia" w:ascii="宋体" w:hAnsi="宋体" w:eastAsia="宋体" w:cs="宋体"/>
                <w:sz w:val="24"/>
                <w:szCs w:val="24"/>
                <w:lang w:val="en-US"/>
              </w:rPr>
              <w:t>4</w:t>
            </w:r>
            <w:r>
              <w:rPr>
                <w:rFonts w:hint="eastAsia" w:ascii="宋体" w:hAnsi="宋体" w:eastAsia="宋体" w:cs="宋体"/>
                <w:sz w:val="24"/>
                <w:szCs w:val="24"/>
              </w:rPr>
              <w:t>）中标人须自行配备至少一台电动四轮巡逻车用于采购人区域内消防、安保日常巡查、应急救援工作。</w:t>
            </w:r>
          </w:p>
        </w:tc>
        <w:tc>
          <w:tcPr>
            <w:tcW w:w="3531" w:type="dxa"/>
            <w:tcBorders>
              <w:top w:val="nil"/>
              <w:left w:val="nil"/>
              <w:bottom w:val="single" w:color="000000" w:sz="4" w:space="0"/>
              <w:right w:val="single" w:color="000000" w:sz="4" w:space="0"/>
            </w:tcBorders>
            <w:shd w:val="clear" w:color="auto" w:fill="auto"/>
            <w:vAlign w:val="center"/>
          </w:tcPr>
          <w:p w14:paraId="094BD4E1">
            <w:pPr>
              <w:pStyle w:val="5"/>
              <w:widowControl/>
              <w:spacing w:line="360" w:lineRule="auto"/>
              <w:rPr>
                <w:lang w:val="en-US"/>
              </w:rPr>
            </w:pPr>
            <w:r>
              <w:rPr>
                <w:rFonts w:hint="eastAsia" w:ascii="宋体" w:hAnsi="宋体" w:eastAsia="宋体" w:cs="宋体"/>
                <w:sz w:val="24"/>
                <w:szCs w:val="24"/>
              </w:rPr>
              <w:t>如遇巡逻车故障需向采购人报备，一般故障</w:t>
            </w:r>
            <w:r>
              <w:rPr>
                <w:rFonts w:hint="eastAsia" w:ascii="宋体" w:hAnsi="宋体" w:eastAsia="宋体" w:cs="宋体"/>
                <w:sz w:val="24"/>
                <w:szCs w:val="24"/>
                <w:lang w:val="en-US"/>
              </w:rPr>
              <w:t>24</w:t>
            </w:r>
            <w:r>
              <w:rPr>
                <w:rFonts w:hint="eastAsia" w:ascii="宋体" w:hAnsi="宋体" w:eastAsia="宋体" w:cs="宋体"/>
                <w:sz w:val="24"/>
                <w:szCs w:val="24"/>
              </w:rPr>
              <w:t>小时内修复，如遇巡逻车出现较大故障一周内修复，出现故障后</w:t>
            </w:r>
            <w:r>
              <w:rPr>
                <w:rFonts w:hint="eastAsia" w:ascii="宋体" w:hAnsi="宋体" w:eastAsia="宋体" w:cs="宋体"/>
                <w:sz w:val="24"/>
                <w:szCs w:val="24"/>
                <w:lang w:val="en-US"/>
              </w:rPr>
              <w:t>24</w:t>
            </w:r>
            <w:r>
              <w:rPr>
                <w:rFonts w:hint="eastAsia" w:ascii="宋体" w:hAnsi="宋体" w:eastAsia="宋体" w:cs="宋体"/>
                <w:sz w:val="24"/>
                <w:szCs w:val="24"/>
              </w:rPr>
              <w:t>小时内须提供备用车辆，每延期一天扣</w:t>
            </w:r>
            <w:r>
              <w:rPr>
                <w:rFonts w:hint="eastAsia" w:ascii="宋体" w:hAnsi="宋体" w:eastAsia="宋体" w:cs="宋体"/>
                <w:sz w:val="24"/>
                <w:szCs w:val="24"/>
                <w:lang w:val="en-US"/>
              </w:rPr>
              <w:t>2</w:t>
            </w:r>
            <w:r>
              <w:rPr>
                <w:rFonts w:hint="eastAsia" w:ascii="宋体" w:hAnsi="宋体" w:eastAsia="宋体" w:cs="宋体"/>
                <w:sz w:val="24"/>
                <w:szCs w:val="24"/>
              </w:rPr>
              <w:t>分。</w:t>
            </w:r>
          </w:p>
        </w:tc>
        <w:tc>
          <w:tcPr>
            <w:tcW w:w="989" w:type="dxa"/>
            <w:tcBorders>
              <w:top w:val="nil"/>
              <w:left w:val="nil"/>
              <w:bottom w:val="single" w:color="000000" w:sz="4" w:space="0"/>
              <w:right w:val="single" w:color="000000" w:sz="4" w:space="0"/>
            </w:tcBorders>
            <w:shd w:val="clear" w:color="auto" w:fill="auto"/>
            <w:vAlign w:val="top"/>
          </w:tcPr>
          <w:p w14:paraId="36F28F55">
            <w:pPr>
              <w:keepNext w:val="0"/>
              <w:keepLines w:val="0"/>
              <w:widowControl w:val="0"/>
              <w:suppressLineNumbers w:val="0"/>
              <w:spacing w:before="0" w:beforeAutospacing="0" w:after="160" w:afterAutospacing="0" w:line="276" w:lineRule="auto"/>
              <w:ind w:left="0" w:right="0"/>
              <w:jc w:val="center"/>
              <w:rPr>
                <w:rFonts w:hint="default"/>
                <w:lang w:val="en-US"/>
              </w:rPr>
            </w:pPr>
          </w:p>
        </w:tc>
        <w:tc>
          <w:tcPr>
            <w:tcW w:w="354" w:type="dxa"/>
            <w:tcBorders>
              <w:top w:val="nil"/>
              <w:left w:val="nil"/>
              <w:bottom w:val="nil"/>
              <w:right w:val="nil"/>
            </w:tcBorders>
            <w:shd w:val="clear" w:color="auto" w:fill="auto"/>
            <w:vAlign w:val="top"/>
          </w:tcPr>
          <w:p w14:paraId="1F97206A">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7D632474">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3648" w:type="dxa"/>
            <w:gridSpan w:val="2"/>
            <w:tcBorders>
              <w:top w:val="nil"/>
              <w:left w:val="single" w:color="000000" w:sz="4" w:space="0"/>
              <w:bottom w:val="single" w:color="000000" w:sz="4" w:space="0"/>
              <w:right w:val="single" w:color="000000" w:sz="4" w:space="0"/>
            </w:tcBorders>
            <w:shd w:val="clear" w:color="auto" w:fill="auto"/>
            <w:vAlign w:val="center"/>
          </w:tcPr>
          <w:p w14:paraId="5AE0FFC6">
            <w:pPr>
              <w:pStyle w:val="5"/>
              <w:widowControl/>
              <w:spacing w:line="360" w:lineRule="auto"/>
              <w:rPr>
                <w:lang w:val="en-US"/>
              </w:rPr>
            </w:pPr>
            <w:r>
              <w:rPr>
                <w:rFonts w:hint="eastAsia" w:ascii="宋体" w:hAnsi="宋体" w:eastAsia="宋体" w:cs="宋体"/>
                <w:sz w:val="24"/>
                <w:szCs w:val="24"/>
              </w:rPr>
              <w:t>（</w:t>
            </w:r>
            <w:r>
              <w:rPr>
                <w:rFonts w:hint="eastAsia" w:ascii="宋体" w:hAnsi="宋体" w:eastAsia="宋体" w:cs="宋体"/>
                <w:sz w:val="24"/>
                <w:szCs w:val="24"/>
                <w:lang w:val="en-US"/>
              </w:rPr>
              <w:t>5</w:t>
            </w:r>
            <w:r>
              <w:rPr>
                <w:rFonts w:hint="eastAsia" w:ascii="宋体" w:hAnsi="宋体" w:eastAsia="宋体" w:cs="宋体"/>
                <w:sz w:val="24"/>
                <w:szCs w:val="24"/>
              </w:rPr>
              <w:t>）管理人员（项目经理、领班等）需具有应急组织、指挥能力，正确处理突发火险、火灾事故。</w:t>
            </w:r>
          </w:p>
        </w:tc>
        <w:tc>
          <w:tcPr>
            <w:tcW w:w="3531" w:type="dxa"/>
            <w:tcBorders>
              <w:top w:val="nil"/>
              <w:left w:val="nil"/>
              <w:bottom w:val="single" w:color="000000" w:sz="4" w:space="0"/>
              <w:right w:val="single" w:color="000000" w:sz="4" w:space="0"/>
            </w:tcBorders>
            <w:shd w:val="clear" w:color="auto" w:fill="auto"/>
            <w:vAlign w:val="center"/>
          </w:tcPr>
          <w:p w14:paraId="4D81B6D8">
            <w:pPr>
              <w:pStyle w:val="5"/>
              <w:widowControl/>
              <w:spacing w:line="360" w:lineRule="auto"/>
              <w:rPr>
                <w:lang w:val="en-US"/>
              </w:rPr>
            </w:pPr>
            <w:r>
              <w:rPr>
                <w:rFonts w:hint="eastAsia" w:ascii="宋体" w:hAnsi="宋体" w:eastAsia="宋体" w:cs="宋体"/>
                <w:sz w:val="24"/>
                <w:szCs w:val="24"/>
              </w:rPr>
              <w:t>应急组织、指挥能力低，每人次扣</w:t>
            </w:r>
            <w:r>
              <w:rPr>
                <w:rFonts w:hint="eastAsia" w:ascii="宋体" w:hAnsi="宋体" w:eastAsia="宋体" w:cs="宋体"/>
                <w:sz w:val="24"/>
                <w:szCs w:val="24"/>
                <w:lang w:val="en-US"/>
              </w:rPr>
              <w:t>0.5</w:t>
            </w:r>
            <w:r>
              <w:rPr>
                <w:rFonts w:hint="eastAsia" w:ascii="宋体" w:hAnsi="宋体" w:eastAsia="宋体" w:cs="宋体"/>
                <w:sz w:val="24"/>
                <w:szCs w:val="24"/>
              </w:rPr>
              <w:t>分，并责成换岗；指挥不当、处理失误每人扣</w:t>
            </w:r>
            <w:r>
              <w:rPr>
                <w:rFonts w:hint="eastAsia" w:ascii="宋体" w:hAnsi="宋体" w:eastAsia="宋体" w:cs="宋体"/>
                <w:sz w:val="24"/>
                <w:szCs w:val="24"/>
                <w:lang w:val="en-US"/>
              </w:rPr>
              <w:t>2</w:t>
            </w:r>
            <w:r>
              <w:rPr>
                <w:rFonts w:hint="eastAsia" w:ascii="宋体" w:hAnsi="宋体" w:eastAsia="宋体" w:cs="宋体"/>
                <w:sz w:val="24"/>
                <w:szCs w:val="24"/>
              </w:rPr>
              <w:t>分，并追究相应责任和调岗。</w:t>
            </w:r>
          </w:p>
        </w:tc>
        <w:tc>
          <w:tcPr>
            <w:tcW w:w="989" w:type="dxa"/>
            <w:tcBorders>
              <w:top w:val="nil"/>
              <w:left w:val="nil"/>
              <w:bottom w:val="single" w:color="000000" w:sz="4" w:space="0"/>
              <w:right w:val="single" w:color="000000" w:sz="4" w:space="0"/>
            </w:tcBorders>
            <w:shd w:val="clear" w:color="auto" w:fill="auto"/>
            <w:vAlign w:val="top"/>
          </w:tcPr>
          <w:p w14:paraId="2D2F35B3">
            <w:pPr>
              <w:keepNext w:val="0"/>
              <w:keepLines w:val="0"/>
              <w:widowControl w:val="0"/>
              <w:suppressLineNumbers w:val="0"/>
              <w:spacing w:before="0" w:beforeAutospacing="0" w:after="160" w:afterAutospacing="0" w:line="276" w:lineRule="auto"/>
              <w:ind w:left="0" w:right="0"/>
              <w:jc w:val="center"/>
              <w:rPr>
                <w:rFonts w:hint="default"/>
                <w:lang w:val="en-US"/>
              </w:rPr>
            </w:pPr>
          </w:p>
        </w:tc>
        <w:tc>
          <w:tcPr>
            <w:tcW w:w="354" w:type="dxa"/>
            <w:tcBorders>
              <w:top w:val="nil"/>
              <w:left w:val="nil"/>
              <w:bottom w:val="nil"/>
              <w:right w:val="nil"/>
            </w:tcBorders>
            <w:shd w:val="clear" w:color="auto" w:fill="auto"/>
            <w:vAlign w:val="top"/>
          </w:tcPr>
          <w:p w14:paraId="0D4053F1">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7190953F">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7179" w:type="dxa"/>
            <w:gridSpan w:val="3"/>
            <w:tcBorders>
              <w:top w:val="nil"/>
              <w:left w:val="single" w:color="000000" w:sz="4" w:space="0"/>
              <w:bottom w:val="single" w:color="000000" w:sz="4" w:space="0"/>
              <w:right w:val="single" w:color="000000" w:sz="4" w:space="0"/>
            </w:tcBorders>
            <w:shd w:val="clear" w:color="auto" w:fill="auto"/>
            <w:vAlign w:val="top"/>
          </w:tcPr>
          <w:p w14:paraId="457C2163">
            <w:pPr>
              <w:keepNext w:val="0"/>
              <w:keepLines w:val="0"/>
              <w:widowControl w:val="0"/>
              <w:suppressLineNumbers w:val="0"/>
              <w:spacing w:before="0" w:beforeAutospacing="0" w:after="160" w:afterAutospacing="0" w:line="276" w:lineRule="auto"/>
              <w:ind w:left="0" w:right="0"/>
              <w:jc w:val="center"/>
              <w:rPr>
                <w:rFonts w:hint="default"/>
                <w:lang w:val="en-US"/>
              </w:rPr>
            </w:pPr>
            <w:r>
              <w:rPr>
                <w:rFonts w:hint="eastAsia" w:ascii="Calibri" w:hAnsi="Calibri" w:eastAsia="宋体" w:cs="宋体"/>
                <w:color w:val="000000"/>
                <w:kern w:val="2"/>
                <w:sz w:val="21"/>
                <w:szCs w:val="24"/>
                <w:lang w:val="en-US" w:eastAsia="zh-CN" w:bidi="ar"/>
              </w:rPr>
              <w:t>其他管理（</w:t>
            </w:r>
            <w:r>
              <w:rPr>
                <w:rFonts w:hint="default" w:ascii="Calibri" w:hAnsi="Calibri" w:eastAsia="宋体" w:cs="Times New Roman"/>
                <w:color w:val="000000"/>
                <w:kern w:val="2"/>
                <w:sz w:val="21"/>
                <w:szCs w:val="24"/>
                <w:lang w:val="en-US" w:eastAsia="zh-CN" w:bidi="ar"/>
              </w:rPr>
              <w:t>5</w:t>
            </w:r>
            <w:r>
              <w:rPr>
                <w:rFonts w:hint="eastAsia" w:ascii="Calibri" w:hAnsi="Calibri" w:eastAsia="宋体" w:cs="宋体"/>
                <w:color w:val="000000"/>
                <w:kern w:val="2"/>
                <w:sz w:val="21"/>
                <w:szCs w:val="24"/>
                <w:lang w:val="en-US" w:eastAsia="zh-CN" w:bidi="ar"/>
              </w:rPr>
              <w:t>分）</w:t>
            </w:r>
          </w:p>
        </w:tc>
        <w:tc>
          <w:tcPr>
            <w:tcW w:w="989" w:type="dxa"/>
            <w:tcBorders>
              <w:top w:val="nil"/>
              <w:left w:val="nil"/>
              <w:bottom w:val="single" w:color="000000" w:sz="4" w:space="0"/>
              <w:right w:val="single" w:color="000000" w:sz="4" w:space="0"/>
            </w:tcBorders>
            <w:shd w:val="clear" w:color="auto" w:fill="auto"/>
            <w:vAlign w:val="top"/>
          </w:tcPr>
          <w:p w14:paraId="6FACC702">
            <w:pPr>
              <w:keepNext w:val="0"/>
              <w:keepLines w:val="0"/>
              <w:widowControl w:val="0"/>
              <w:suppressLineNumbers w:val="0"/>
              <w:spacing w:before="0" w:beforeAutospacing="0" w:after="160" w:afterAutospacing="0" w:line="276" w:lineRule="auto"/>
              <w:ind w:left="0" w:right="0"/>
              <w:jc w:val="center"/>
              <w:rPr>
                <w:rFonts w:hint="default"/>
                <w:lang w:val="en-US"/>
              </w:rPr>
            </w:pPr>
          </w:p>
        </w:tc>
        <w:tc>
          <w:tcPr>
            <w:tcW w:w="354" w:type="dxa"/>
            <w:tcBorders>
              <w:top w:val="nil"/>
              <w:left w:val="nil"/>
              <w:bottom w:val="nil"/>
              <w:right w:val="nil"/>
            </w:tcBorders>
            <w:shd w:val="clear" w:color="auto" w:fill="auto"/>
            <w:vAlign w:val="top"/>
          </w:tcPr>
          <w:p w14:paraId="2A8CB9E9">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56775E18">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3648" w:type="dxa"/>
            <w:gridSpan w:val="2"/>
            <w:tcBorders>
              <w:top w:val="nil"/>
              <w:left w:val="single" w:color="000000" w:sz="4" w:space="0"/>
              <w:bottom w:val="single" w:color="000000" w:sz="4" w:space="0"/>
              <w:right w:val="single" w:color="000000" w:sz="4" w:space="0"/>
            </w:tcBorders>
            <w:shd w:val="clear" w:color="auto" w:fill="auto"/>
            <w:vAlign w:val="top"/>
          </w:tcPr>
          <w:p w14:paraId="5D28CB95">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eastAsia" w:ascii="Calibri" w:hAnsi="Calibri" w:eastAsia="宋体" w:cs="宋体"/>
                <w:color w:val="000000"/>
                <w:kern w:val="2"/>
                <w:sz w:val="21"/>
                <w:szCs w:val="24"/>
                <w:lang w:val="en-US" w:eastAsia="zh-CN" w:bidi="ar"/>
              </w:rPr>
              <w:t>　　</w:t>
            </w:r>
            <w:r>
              <w:rPr>
                <w:rFonts w:hint="eastAsia" w:ascii="宋体" w:hAnsi="宋体" w:eastAsia="宋体" w:cs="宋体"/>
                <w:kern w:val="2"/>
                <w:sz w:val="24"/>
                <w:szCs w:val="24"/>
                <w:lang w:val="en-US" w:eastAsia="zh-CN" w:bidi="ar"/>
              </w:rPr>
              <w:t>中标人须每月5号前协助采购人完成上个月月度安保服务质量考评工作，中标人根据考评结果每月8号前提供等额发票给采购人</w:t>
            </w:r>
            <w:r>
              <w:rPr>
                <w:rFonts w:hint="eastAsia" w:ascii="Calibri" w:hAnsi="Calibri" w:eastAsia="宋体" w:cs="宋体"/>
                <w:color w:val="000000"/>
                <w:kern w:val="2"/>
                <w:sz w:val="21"/>
                <w:szCs w:val="24"/>
                <w:lang w:val="en-US" w:eastAsia="zh-CN" w:bidi="ar"/>
              </w:rPr>
              <w:t>。</w:t>
            </w:r>
          </w:p>
        </w:tc>
        <w:tc>
          <w:tcPr>
            <w:tcW w:w="3531" w:type="dxa"/>
            <w:tcBorders>
              <w:top w:val="nil"/>
              <w:left w:val="nil"/>
              <w:bottom w:val="single" w:color="000000" w:sz="4" w:space="0"/>
              <w:right w:val="single" w:color="000000" w:sz="4" w:space="0"/>
            </w:tcBorders>
            <w:shd w:val="clear" w:color="auto" w:fill="auto"/>
            <w:vAlign w:val="top"/>
          </w:tcPr>
          <w:p w14:paraId="4BF53ED5">
            <w:pPr>
              <w:keepNext w:val="0"/>
              <w:keepLines w:val="0"/>
              <w:widowControl w:val="0"/>
              <w:suppressLineNumbers w:val="0"/>
              <w:spacing w:before="0" w:beforeAutospacing="0" w:after="160" w:afterAutospacing="0" w:line="276" w:lineRule="auto"/>
              <w:ind w:left="0" w:right="0"/>
              <w:jc w:val="left"/>
              <w:rPr>
                <w:rFonts w:hint="default"/>
                <w:lang w:val="en-US"/>
              </w:rPr>
            </w:pPr>
            <w:r>
              <w:rPr>
                <w:rFonts w:hint="eastAsia" w:ascii="Calibri" w:hAnsi="Calibri" w:eastAsia="宋体" w:cs="宋体"/>
                <w:color w:val="000000"/>
                <w:kern w:val="2"/>
                <w:sz w:val="21"/>
                <w:szCs w:val="24"/>
                <w:lang w:val="en-US" w:eastAsia="zh-CN" w:bidi="ar"/>
              </w:rPr>
              <w:t>　　</w:t>
            </w:r>
            <w:r>
              <w:rPr>
                <w:rFonts w:hint="eastAsia" w:ascii="宋体" w:hAnsi="宋体" w:eastAsia="宋体" w:cs="宋体"/>
                <w:kern w:val="2"/>
                <w:sz w:val="24"/>
                <w:szCs w:val="24"/>
                <w:lang w:val="en-US" w:eastAsia="zh-CN" w:bidi="ar"/>
              </w:rPr>
              <w:t>如未能及时协助采购人完成上个月月度安保服务质量考评工作的，扣3分。如未能及时提供等额发票给采购人的，扣2分</w:t>
            </w:r>
            <w:r>
              <w:rPr>
                <w:rFonts w:hint="eastAsia" w:ascii="Calibri" w:hAnsi="Calibri" w:eastAsia="宋体" w:cs="宋体"/>
                <w:color w:val="000000"/>
                <w:kern w:val="2"/>
                <w:sz w:val="21"/>
                <w:szCs w:val="24"/>
                <w:lang w:val="en-US" w:eastAsia="zh-CN" w:bidi="ar"/>
              </w:rPr>
              <w:t>。</w:t>
            </w:r>
          </w:p>
        </w:tc>
        <w:tc>
          <w:tcPr>
            <w:tcW w:w="989" w:type="dxa"/>
            <w:tcBorders>
              <w:top w:val="nil"/>
              <w:left w:val="nil"/>
              <w:bottom w:val="single" w:color="000000" w:sz="4" w:space="0"/>
              <w:right w:val="single" w:color="000000" w:sz="4" w:space="0"/>
            </w:tcBorders>
            <w:shd w:val="clear" w:color="auto" w:fill="auto"/>
            <w:vAlign w:val="top"/>
          </w:tcPr>
          <w:p w14:paraId="5302B63F">
            <w:pPr>
              <w:keepNext w:val="0"/>
              <w:keepLines w:val="0"/>
              <w:widowControl w:val="0"/>
              <w:suppressLineNumbers w:val="0"/>
              <w:spacing w:before="0" w:beforeAutospacing="0" w:after="160" w:afterAutospacing="0" w:line="276" w:lineRule="auto"/>
              <w:ind w:left="0" w:right="0"/>
              <w:jc w:val="center"/>
              <w:rPr>
                <w:rFonts w:hint="default"/>
                <w:lang w:val="en-US"/>
              </w:rPr>
            </w:pPr>
          </w:p>
        </w:tc>
        <w:tc>
          <w:tcPr>
            <w:tcW w:w="354" w:type="dxa"/>
            <w:tcBorders>
              <w:top w:val="nil"/>
              <w:left w:val="nil"/>
              <w:bottom w:val="nil"/>
              <w:right w:val="nil"/>
            </w:tcBorders>
            <w:shd w:val="clear" w:color="auto" w:fill="auto"/>
            <w:vAlign w:val="top"/>
          </w:tcPr>
          <w:p w14:paraId="58AFD15E">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4A6AA8CF">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2674" w:type="dxa"/>
            <w:tcBorders>
              <w:top w:val="nil"/>
              <w:left w:val="single" w:color="000000" w:sz="4" w:space="0"/>
              <w:bottom w:val="single" w:color="000000" w:sz="4" w:space="0"/>
              <w:right w:val="single" w:color="000000" w:sz="4" w:space="0"/>
            </w:tcBorders>
            <w:shd w:val="clear" w:color="auto" w:fill="auto"/>
            <w:vAlign w:val="top"/>
          </w:tcPr>
          <w:p w14:paraId="45BD4587">
            <w:pPr>
              <w:keepNext w:val="0"/>
              <w:keepLines w:val="0"/>
              <w:widowControl w:val="0"/>
              <w:suppressLineNumbers w:val="0"/>
              <w:spacing w:before="0" w:beforeAutospacing="0" w:after="160" w:afterAutospacing="0" w:line="276" w:lineRule="auto"/>
              <w:ind w:left="0" w:right="0"/>
              <w:jc w:val="center"/>
              <w:rPr>
                <w:rFonts w:hint="default"/>
                <w:lang w:val="en-US"/>
              </w:rPr>
            </w:pPr>
            <w:r>
              <w:rPr>
                <w:rFonts w:hint="eastAsia" w:ascii="Calibri" w:hAnsi="Calibri" w:eastAsia="宋体" w:cs="宋体"/>
                <w:color w:val="000000"/>
                <w:kern w:val="2"/>
                <w:sz w:val="21"/>
                <w:szCs w:val="24"/>
                <w:lang w:val="en-US" w:eastAsia="zh-CN" w:bidi="ar"/>
              </w:rPr>
              <w:t>月度检查评价</w:t>
            </w:r>
          </w:p>
          <w:p w14:paraId="516993E2">
            <w:pPr>
              <w:keepNext w:val="0"/>
              <w:keepLines w:val="0"/>
              <w:widowControl w:val="0"/>
              <w:suppressLineNumbers w:val="0"/>
              <w:spacing w:before="0" w:beforeAutospacing="0" w:after="160" w:afterAutospacing="0" w:line="276" w:lineRule="auto"/>
              <w:ind w:left="0" w:right="0"/>
              <w:jc w:val="center"/>
              <w:rPr>
                <w:rFonts w:hint="default"/>
                <w:lang w:val="en-US"/>
              </w:rPr>
            </w:pPr>
            <w:r>
              <w:rPr>
                <w:rFonts w:hint="eastAsia" w:ascii="Calibri" w:hAnsi="Calibri" w:eastAsia="宋体" w:cs="宋体"/>
                <w:color w:val="000000"/>
                <w:kern w:val="2"/>
                <w:sz w:val="21"/>
                <w:szCs w:val="24"/>
                <w:lang w:val="en-US" w:eastAsia="zh-CN" w:bidi="ar"/>
              </w:rPr>
              <w:t>扣得分情况</w:t>
            </w:r>
          </w:p>
        </w:tc>
        <w:tc>
          <w:tcPr>
            <w:tcW w:w="5494" w:type="dxa"/>
            <w:gridSpan w:val="3"/>
            <w:tcBorders>
              <w:top w:val="nil"/>
              <w:left w:val="nil"/>
              <w:bottom w:val="single" w:color="000000" w:sz="4" w:space="0"/>
              <w:right w:val="single" w:color="000000" w:sz="4" w:space="0"/>
            </w:tcBorders>
            <w:shd w:val="clear" w:color="auto" w:fill="auto"/>
            <w:vAlign w:val="top"/>
          </w:tcPr>
          <w:p w14:paraId="5BABE49D">
            <w:pPr>
              <w:keepNext w:val="0"/>
              <w:keepLines w:val="0"/>
              <w:widowControl w:val="0"/>
              <w:suppressLineNumbers w:val="0"/>
              <w:spacing w:before="0" w:beforeAutospacing="0" w:after="160" w:afterAutospacing="0" w:line="276" w:lineRule="auto"/>
              <w:ind w:left="0" w:right="0"/>
              <w:jc w:val="left"/>
              <w:rPr>
                <w:rFonts w:hint="default"/>
                <w:lang w:val="en-US"/>
              </w:rPr>
            </w:pPr>
            <w:r>
              <w:rPr>
                <w:rFonts w:hint="default" w:ascii="Calibri" w:hAnsi="Calibri" w:eastAsia="宋体" w:cs="Times New Roman"/>
                <w:kern w:val="2"/>
                <w:sz w:val="21"/>
                <w:szCs w:val="24"/>
                <w:lang w:val="en-US" w:eastAsia="zh-CN" w:bidi="ar"/>
              </w:rPr>
              <w:t xml:space="preserve">                                                     </w:t>
            </w:r>
          </w:p>
        </w:tc>
        <w:tc>
          <w:tcPr>
            <w:tcW w:w="354" w:type="dxa"/>
            <w:tcBorders>
              <w:top w:val="nil"/>
              <w:left w:val="nil"/>
              <w:bottom w:val="nil"/>
              <w:right w:val="nil"/>
            </w:tcBorders>
            <w:shd w:val="clear" w:color="auto" w:fill="auto"/>
            <w:vAlign w:val="top"/>
          </w:tcPr>
          <w:p w14:paraId="483F704A">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7D62B766">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2674" w:type="dxa"/>
            <w:tcBorders>
              <w:top w:val="nil"/>
              <w:left w:val="single" w:color="000000" w:sz="4" w:space="0"/>
              <w:bottom w:val="single" w:color="000000" w:sz="4" w:space="0"/>
              <w:right w:val="single" w:color="000000" w:sz="4" w:space="0"/>
            </w:tcBorders>
            <w:shd w:val="clear" w:color="auto" w:fill="auto"/>
            <w:vAlign w:val="top"/>
          </w:tcPr>
          <w:p w14:paraId="74873A39">
            <w:pPr>
              <w:keepNext w:val="0"/>
              <w:keepLines w:val="0"/>
              <w:widowControl w:val="0"/>
              <w:suppressLineNumbers w:val="0"/>
              <w:spacing w:before="0" w:beforeAutospacing="0" w:after="160" w:afterAutospacing="0" w:line="276" w:lineRule="auto"/>
              <w:ind w:left="0" w:right="0"/>
              <w:jc w:val="center"/>
              <w:rPr>
                <w:rFonts w:hint="default"/>
                <w:lang w:val="en-US"/>
              </w:rPr>
            </w:pPr>
            <w:r>
              <w:rPr>
                <w:rFonts w:hint="eastAsia" w:ascii="Calibri" w:hAnsi="Calibri" w:eastAsia="宋体" w:cs="宋体"/>
                <w:color w:val="000000"/>
                <w:kern w:val="2"/>
                <w:sz w:val="21"/>
                <w:szCs w:val="24"/>
                <w:lang w:val="en-US" w:eastAsia="zh-CN" w:bidi="ar"/>
              </w:rPr>
              <w:t>备注</w:t>
            </w:r>
          </w:p>
        </w:tc>
        <w:tc>
          <w:tcPr>
            <w:tcW w:w="5494" w:type="dxa"/>
            <w:gridSpan w:val="3"/>
            <w:tcBorders>
              <w:top w:val="nil"/>
              <w:left w:val="nil"/>
              <w:bottom w:val="single" w:color="000000" w:sz="4" w:space="0"/>
              <w:right w:val="single" w:color="000000" w:sz="4" w:space="0"/>
            </w:tcBorders>
            <w:shd w:val="clear" w:color="auto" w:fill="auto"/>
            <w:vAlign w:val="top"/>
          </w:tcPr>
          <w:p w14:paraId="6B3DD546">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color w:val="000000"/>
                <w:kern w:val="2"/>
                <w:sz w:val="21"/>
                <w:szCs w:val="24"/>
                <w:lang w:val="en-US" w:eastAsia="zh-CN" w:bidi="ar"/>
              </w:rPr>
              <w:t>1.</w:t>
            </w:r>
            <w:r>
              <w:rPr>
                <w:rFonts w:hint="eastAsia" w:ascii="Calibri" w:hAnsi="Calibri" w:eastAsia="宋体" w:cs="宋体"/>
                <w:color w:val="000000"/>
                <w:kern w:val="2"/>
                <w:sz w:val="21"/>
                <w:szCs w:val="24"/>
                <w:lang w:val="en-US" w:eastAsia="zh-CN" w:bidi="ar"/>
              </w:rPr>
              <w:t>考核时间：采购人不定期考核一次作为月考评依据。</w:t>
            </w:r>
          </w:p>
          <w:p w14:paraId="28FA461E">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color w:val="000000"/>
                <w:kern w:val="2"/>
                <w:sz w:val="21"/>
                <w:szCs w:val="24"/>
                <w:lang w:val="en-US" w:eastAsia="zh-CN" w:bidi="ar"/>
              </w:rPr>
              <w:t>2.</w:t>
            </w:r>
            <w:r>
              <w:rPr>
                <w:rFonts w:hint="eastAsia" w:ascii="Calibri" w:hAnsi="Calibri" w:eastAsia="宋体" w:cs="宋体"/>
                <w:color w:val="000000"/>
                <w:kern w:val="2"/>
                <w:sz w:val="21"/>
                <w:szCs w:val="24"/>
                <w:lang w:val="en-US" w:eastAsia="zh-CN" w:bidi="ar"/>
              </w:rPr>
              <w:t>每月三十日前采购人将保安评比核实，据此核发该月应发服务费。</w:t>
            </w:r>
          </w:p>
          <w:p w14:paraId="5D877098">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color w:val="000000"/>
                <w:kern w:val="2"/>
                <w:sz w:val="21"/>
                <w:szCs w:val="24"/>
                <w:lang w:val="en-US" w:eastAsia="zh-CN" w:bidi="ar"/>
              </w:rPr>
              <w:t>3</w:t>
            </w:r>
            <w:r>
              <w:rPr>
                <w:rFonts w:hint="eastAsia" w:ascii="Calibri" w:hAnsi="Calibri" w:eastAsia="宋体" w:cs="宋体"/>
                <w:color w:val="000000"/>
                <w:kern w:val="2"/>
                <w:sz w:val="21"/>
                <w:szCs w:val="24"/>
                <w:lang w:val="en-US" w:eastAsia="zh-CN" w:bidi="ar"/>
              </w:rPr>
              <w:t>考核总分为</w:t>
            </w:r>
            <w:r>
              <w:rPr>
                <w:rFonts w:hint="default" w:ascii="Calibri" w:hAnsi="Calibri" w:eastAsia="宋体" w:cs="Times New Roman"/>
                <w:color w:val="000000"/>
                <w:kern w:val="2"/>
                <w:sz w:val="21"/>
                <w:szCs w:val="24"/>
                <w:lang w:val="en-US" w:eastAsia="zh-CN" w:bidi="ar"/>
              </w:rPr>
              <w:t>100</w:t>
            </w:r>
            <w:r>
              <w:rPr>
                <w:rFonts w:hint="eastAsia" w:ascii="Calibri" w:hAnsi="Calibri" w:eastAsia="宋体" w:cs="宋体"/>
                <w:color w:val="000000"/>
                <w:kern w:val="2"/>
                <w:sz w:val="21"/>
                <w:szCs w:val="24"/>
                <w:lang w:val="en-US" w:eastAsia="zh-CN" w:bidi="ar"/>
              </w:rPr>
              <w:t>，合格为</w:t>
            </w:r>
            <w:r>
              <w:rPr>
                <w:rFonts w:hint="default" w:ascii="Calibri" w:hAnsi="Calibri" w:eastAsia="宋体" w:cs="Times New Roman"/>
                <w:color w:val="000000"/>
                <w:kern w:val="2"/>
                <w:sz w:val="21"/>
                <w:szCs w:val="24"/>
                <w:lang w:val="en-US" w:eastAsia="zh-CN" w:bidi="ar"/>
              </w:rPr>
              <w:t>90</w:t>
            </w:r>
            <w:r>
              <w:rPr>
                <w:rFonts w:hint="eastAsia" w:ascii="Calibri" w:hAnsi="Calibri" w:eastAsia="宋体" w:cs="宋体"/>
                <w:color w:val="000000"/>
                <w:kern w:val="2"/>
                <w:sz w:val="21"/>
                <w:szCs w:val="24"/>
                <w:lang w:val="en-US" w:eastAsia="zh-CN" w:bidi="ar"/>
              </w:rPr>
              <w:t>分。低于</w:t>
            </w:r>
            <w:r>
              <w:rPr>
                <w:rFonts w:hint="default" w:ascii="Calibri" w:hAnsi="Calibri" w:eastAsia="宋体" w:cs="Times New Roman"/>
                <w:color w:val="000000"/>
                <w:kern w:val="2"/>
                <w:sz w:val="21"/>
                <w:szCs w:val="24"/>
                <w:lang w:val="en-US" w:eastAsia="zh-CN" w:bidi="ar"/>
              </w:rPr>
              <w:t>90</w:t>
            </w:r>
            <w:r>
              <w:rPr>
                <w:rFonts w:hint="eastAsia" w:ascii="Calibri" w:hAnsi="Calibri" w:eastAsia="宋体" w:cs="宋体"/>
                <w:color w:val="000000"/>
                <w:kern w:val="2"/>
                <w:sz w:val="21"/>
                <w:szCs w:val="24"/>
                <w:lang w:val="en-US" w:eastAsia="zh-CN" w:bidi="ar"/>
              </w:rPr>
              <w:t>分每扣一分罚扣除服务费</w:t>
            </w:r>
            <w:r>
              <w:rPr>
                <w:rFonts w:hint="default" w:ascii="Calibri" w:hAnsi="Calibri" w:eastAsia="宋体" w:cs="Times New Roman"/>
                <w:color w:val="000000"/>
                <w:kern w:val="2"/>
                <w:sz w:val="21"/>
                <w:szCs w:val="24"/>
                <w:lang w:val="en-US" w:eastAsia="zh-CN" w:bidi="ar"/>
              </w:rPr>
              <w:t>500</w:t>
            </w:r>
            <w:r>
              <w:rPr>
                <w:rFonts w:hint="eastAsia" w:ascii="Calibri" w:hAnsi="Calibri" w:eastAsia="宋体" w:cs="宋体"/>
                <w:color w:val="000000"/>
                <w:kern w:val="2"/>
                <w:sz w:val="21"/>
                <w:szCs w:val="24"/>
                <w:lang w:val="en-US" w:eastAsia="zh-CN" w:bidi="ar"/>
              </w:rPr>
              <w:t>元。</w:t>
            </w:r>
          </w:p>
        </w:tc>
        <w:tc>
          <w:tcPr>
            <w:tcW w:w="354" w:type="dxa"/>
            <w:tcBorders>
              <w:top w:val="nil"/>
              <w:left w:val="nil"/>
              <w:bottom w:val="nil"/>
              <w:right w:val="nil"/>
            </w:tcBorders>
            <w:shd w:val="clear" w:color="auto" w:fill="auto"/>
            <w:vAlign w:val="top"/>
          </w:tcPr>
          <w:p w14:paraId="224C550B">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4B2B28C6">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8168" w:type="dxa"/>
            <w:gridSpan w:val="4"/>
            <w:tcBorders>
              <w:top w:val="nil"/>
              <w:left w:val="single" w:color="000000" w:sz="4" w:space="0"/>
              <w:bottom w:val="single" w:color="000000" w:sz="4" w:space="0"/>
              <w:right w:val="single" w:color="000000" w:sz="4" w:space="0"/>
            </w:tcBorders>
            <w:shd w:val="clear" w:color="auto" w:fill="auto"/>
            <w:vAlign w:val="top"/>
          </w:tcPr>
          <w:p w14:paraId="0EB5F93B">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eastAsia" w:ascii="Calibri" w:hAnsi="Calibri" w:eastAsia="宋体" w:cs="宋体"/>
                <w:color w:val="000000"/>
                <w:kern w:val="2"/>
                <w:sz w:val="21"/>
                <w:szCs w:val="24"/>
                <w:lang w:val="en-US" w:eastAsia="zh-CN" w:bidi="ar"/>
              </w:rPr>
              <w:t>检查日期：</w:t>
            </w:r>
            <w:r>
              <w:rPr>
                <w:rFonts w:hint="default" w:ascii="Calibri" w:hAnsi="Calibri" w:eastAsia="宋体" w:cs="Times New Roman"/>
                <w:kern w:val="2"/>
                <w:sz w:val="21"/>
                <w:szCs w:val="24"/>
                <w:lang w:val="en-US" w:eastAsia="zh-CN" w:bidi="ar"/>
              </w:rPr>
              <w:t xml:space="preserve">   </w:t>
            </w:r>
            <w:r>
              <w:rPr>
                <w:rFonts w:hint="eastAsia" w:ascii="Calibri" w:hAnsi="Calibri" w:eastAsia="宋体" w:cs="宋体"/>
                <w:color w:val="000000"/>
                <w:kern w:val="2"/>
                <w:sz w:val="21"/>
                <w:szCs w:val="24"/>
                <w:lang w:val="en-US" w:eastAsia="zh-CN" w:bidi="ar"/>
              </w:rPr>
              <w:t>年</w:t>
            </w:r>
            <w:r>
              <w:rPr>
                <w:rFonts w:hint="default" w:ascii="Calibri" w:hAnsi="Calibri" w:eastAsia="宋体" w:cs="Times New Roman"/>
                <w:kern w:val="2"/>
                <w:sz w:val="21"/>
                <w:szCs w:val="24"/>
                <w:lang w:val="en-US" w:eastAsia="zh-CN" w:bidi="ar"/>
              </w:rPr>
              <w:t xml:space="preserve"> </w:t>
            </w:r>
            <w:r>
              <w:rPr>
                <w:rFonts w:hint="eastAsia" w:ascii="Calibri" w:hAnsi="Calibri" w:eastAsia="宋体" w:cs="宋体"/>
                <w:color w:val="000000"/>
                <w:kern w:val="2"/>
                <w:sz w:val="21"/>
                <w:szCs w:val="24"/>
                <w:lang w:val="en-US" w:eastAsia="zh-CN" w:bidi="ar"/>
              </w:rPr>
              <w:t>月</w:t>
            </w:r>
            <w:r>
              <w:rPr>
                <w:rFonts w:hint="default" w:ascii="Calibri" w:hAnsi="Calibri" w:eastAsia="宋体" w:cs="Times New Roman"/>
                <w:kern w:val="2"/>
                <w:sz w:val="21"/>
                <w:szCs w:val="24"/>
                <w:lang w:val="en-US" w:eastAsia="zh-CN" w:bidi="ar"/>
              </w:rPr>
              <w:t xml:space="preserve"> </w:t>
            </w:r>
            <w:r>
              <w:rPr>
                <w:rFonts w:hint="eastAsia" w:ascii="Calibri" w:hAnsi="Calibri" w:eastAsia="宋体" w:cs="宋体"/>
                <w:color w:val="000000"/>
                <w:kern w:val="2"/>
                <w:sz w:val="21"/>
                <w:szCs w:val="24"/>
                <w:lang w:val="en-US" w:eastAsia="zh-CN" w:bidi="ar"/>
              </w:rPr>
              <w:t>日</w:t>
            </w:r>
            <w:r>
              <w:rPr>
                <w:rFonts w:hint="default" w:ascii="Calibri" w:hAnsi="Calibri" w:eastAsia="宋体" w:cs="Times New Roman"/>
                <w:kern w:val="2"/>
                <w:sz w:val="21"/>
                <w:szCs w:val="24"/>
                <w:lang w:val="en-US" w:eastAsia="zh-CN" w:bidi="ar"/>
              </w:rPr>
              <w:t xml:space="preserve">        </w:t>
            </w:r>
            <w:r>
              <w:rPr>
                <w:rFonts w:hint="eastAsia" w:ascii="Calibri" w:hAnsi="Calibri" w:eastAsia="宋体" w:cs="宋体"/>
                <w:color w:val="000000"/>
                <w:kern w:val="2"/>
                <w:sz w:val="21"/>
                <w:szCs w:val="24"/>
                <w:lang w:val="en-US" w:eastAsia="zh-CN" w:bidi="ar"/>
              </w:rPr>
              <w:t>参评人员签名：</w:t>
            </w:r>
          </w:p>
          <w:p w14:paraId="312A1C51">
            <w:pPr>
              <w:keepNext w:val="0"/>
              <w:keepLines w:val="0"/>
              <w:widowControl w:val="0"/>
              <w:suppressLineNumbers w:val="0"/>
              <w:spacing w:before="0" w:beforeAutospacing="0" w:after="160" w:afterAutospacing="0" w:line="276" w:lineRule="auto"/>
              <w:ind w:left="0" w:right="0"/>
              <w:jc w:val="both"/>
              <w:rPr>
                <w:rFonts w:hint="default"/>
                <w:lang w:val="en-US"/>
              </w:rPr>
            </w:pPr>
          </w:p>
          <w:p w14:paraId="7A0A1FB1">
            <w:pPr>
              <w:keepNext w:val="0"/>
              <w:keepLines w:val="0"/>
              <w:widowControl w:val="0"/>
              <w:suppressLineNumbers w:val="0"/>
              <w:spacing w:before="0" w:beforeAutospacing="0" w:after="160" w:afterAutospacing="0" w:line="276" w:lineRule="auto"/>
              <w:ind w:left="0" w:right="0"/>
              <w:jc w:val="both"/>
              <w:rPr>
                <w:rFonts w:hint="default"/>
                <w:lang w:val="en-US"/>
              </w:rPr>
            </w:pPr>
          </w:p>
          <w:p w14:paraId="4EBE4F13">
            <w:pPr>
              <w:keepNext w:val="0"/>
              <w:keepLines w:val="0"/>
              <w:widowControl w:val="0"/>
              <w:suppressLineNumbers w:val="0"/>
              <w:spacing w:before="0" w:beforeAutospacing="0" w:after="160" w:afterAutospacing="0" w:line="276" w:lineRule="auto"/>
              <w:ind w:left="0" w:right="0"/>
              <w:jc w:val="both"/>
              <w:rPr>
                <w:rFonts w:hint="default"/>
                <w:lang w:val="en-US"/>
              </w:rPr>
            </w:pPr>
          </w:p>
          <w:p w14:paraId="36B3153B">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eastAsia" w:ascii="Calibri" w:hAnsi="Calibri" w:eastAsia="宋体" w:cs="宋体"/>
                <w:color w:val="000000"/>
                <w:kern w:val="2"/>
                <w:sz w:val="21"/>
                <w:szCs w:val="24"/>
                <w:lang w:val="en-US" w:eastAsia="zh-CN" w:bidi="ar"/>
              </w:rPr>
              <w:t>物业公司确认：</w:t>
            </w:r>
            <w:r>
              <w:rPr>
                <w:rFonts w:hint="default" w:ascii="Calibri" w:hAnsi="Calibri" w:eastAsia="宋体" w:cs="Times New Roman"/>
                <w:b/>
                <w:bCs w:val="0"/>
                <w:kern w:val="2"/>
                <w:sz w:val="21"/>
                <w:szCs w:val="24"/>
                <w:lang w:val="en-US" w:eastAsia="zh-CN" w:bidi="ar"/>
              </w:rPr>
              <w:t xml:space="preserve">                     </w:t>
            </w:r>
            <w:r>
              <w:rPr>
                <w:rFonts w:hint="eastAsia" w:ascii="Calibri" w:hAnsi="Calibri" w:eastAsia="宋体" w:cs="宋体"/>
                <w:b/>
                <w:bCs w:val="0"/>
                <w:kern w:val="2"/>
                <w:sz w:val="21"/>
                <w:szCs w:val="24"/>
                <w:lang w:val="en-US" w:eastAsia="zh-CN" w:bidi="ar"/>
              </w:rPr>
              <w:t>　</w:t>
            </w:r>
            <w:r>
              <w:rPr>
                <w:rFonts w:hint="eastAsia" w:ascii="Calibri" w:hAnsi="Calibri" w:eastAsia="宋体" w:cs="宋体"/>
                <w:color w:val="000000"/>
                <w:kern w:val="2"/>
                <w:sz w:val="21"/>
                <w:szCs w:val="24"/>
                <w:lang w:val="en-US" w:eastAsia="zh-CN" w:bidi="ar"/>
              </w:rPr>
              <w:t>部门负责人：</w:t>
            </w:r>
          </w:p>
        </w:tc>
        <w:tc>
          <w:tcPr>
            <w:tcW w:w="354" w:type="dxa"/>
            <w:tcBorders>
              <w:top w:val="nil"/>
              <w:left w:val="nil"/>
              <w:bottom w:val="nil"/>
              <w:right w:val="nil"/>
            </w:tcBorders>
            <w:shd w:val="clear" w:color="auto" w:fill="auto"/>
            <w:vAlign w:val="top"/>
          </w:tcPr>
          <w:p w14:paraId="407A09B3">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r w14:paraId="41E52548">
        <w:tblPrEx>
          <w:tblBorders>
            <w:top w:val="none" w:color="000000" w:sz="0" w:space="0"/>
            <w:left w:val="none" w:color="000000" w:sz="0" w:space="0"/>
            <w:bottom w:val="none" w:color="000000" w:sz="0" w:space="0"/>
            <w:right w:val="none" w:color="000000" w:sz="0" w:space="0"/>
            <w:insideH w:val="outset" w:color="auto" w:sz="6" w:space="0"/>
            <w:insideV w:val="outset" w:color="auto" w:sz="6" w:space="0"/>
          </w:tblBorders>
          <w:shd w:val="clear" w:color="auto" w:fill="auto"/>
          <w:tblCellMar>
            <w:top w:w="0" w:type="dxa"/>
            <w:left w:w="108" w:type="dxa"/>
            <w:bottom w:w="0" w:type="dxa"/>
            <w:right w:w="108" w:type="dxa"/>
          </w:tblCellMar>
        </w:tblPrEx>
        <w:tc>
          <w:tcPr>
            <w:tcW w:w="2674" w:type="dxa"/>
            <w:tcBorders>
              <w:top w:val="nil"/>
              <w:left w:val="nil"/>
              <w:bottom w:val="nil"/>
              <w:right w:val="nil"/>
            </w:tcBorders>
            <w:shd w:val="clear" w:color="auto" w:fill="auto"/>
            <w:vAlign w:val="top"/>
          </w:tcPr>
          <w:p w14:paraId="0BF053A6">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c>
          <w:tcPr>
            <w:tcW w:w="974" w:type="dxa"/>
            <w:tcBorders>
              <w:top w:val="nil"/>
              <w:left w:val="nil"/>
              <w:bottom w:val="nil"/>
              <w:right w:val="nil"/>
            </w:tcBorders>
            <w:shd w:val="clear" w:color="auto" w:fill="auto"/>
            <w:vAlign w:val="top"/>
          </w:tcPr>
          <w:p w14:paraId="6F53F2D6">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c>
          <w:tcPr>
            <w:tcW w:w="3531" w:type="dxa"/>
            <w:tcBorders>
              <w:top w:val="nil"/>
              <w:left w:val="nil"/>
              <w:bottom w:val="nil"/>
              <w:right w:val="nil"/>
            </w:tcBorders>
            <w:shd w:val="clear" w:color="auto" w:fill="auto"/>
            <w:vAlign w:val="top"/>
          </w:tcPr>
          <w:p w14:paraId="0AA5AE66">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c>
          <w:tcPr>
            <w:tcW w:w="989" w:type="dxa"/>
            <w:tcBorders>
              <w:top w:val="nil"/>
              <w:left w:val="nil"/>
              <w:bottom w:val="nil"/>
              <w:right w:val="nil"/>
            </w:tcBorders>
            <w:shd w:val="clear" w:color="auto" w:fill="auto"/>
            <w:vAlign w:val="top"/>
          </w:tcPr>
          <w:p w14:paraId="18925BC9">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c>
          <w:tcPr>
            <w:tcW w:w="354" w:type="dxa"/>
            <w:tcBorders>
              <w:top w:val="nil"/>
              <w:left w:val="nil"/>
              <w:bottom w:val="nil"/>
              <w:right w:val="nil"/>
            </w:tcBorders>
            <w:shd w:val="clear" w:color="auto" w:fill="auto"/>
            <w:vAlign w:val="top"/>
          </w:tcPr>
          <w:p w14:paraId="1860768A">
            <w:pPr>
              <w:keepNext w:val="0"/>
              <w:keepLines w:val="0"/>
              <w:widowControl w:val="0"/>
              <w:suppressLineNumbers w:val="0"/>
              <w:spacing w:before="0" w:beforeAutospacing="0" w:after="160" w:afterAutospacing="0" w:line="276" w:lineRule="auto"/>
              <w:ind w:left="0" w:right="0"/>
              <w:jc w:val="both"/>
              <w:rPr>
                <w:rFonts w:hint="default"/>
                <w:lang w:val="en-US"/>
              </w:rPr>
            </w:pPr>
            <w:r>
              <w:rPr>
                <w:rFonts w:hint="default" w:ascii="Calibri" w:hAnsi="Calibri" w:eastAsia="宋体" w:cs="Times New Roman"/>
                <w:kern w:val="2"/>
                <w:sz w:val="21"/>
                <w:szCs w:val="24"/>
                <w:lang w:val="en-US" w:eastAsia="zh-CN" w:bidi="ar"/>
              </w:rPr>
              <w:t xml:space="preserve"> </w:t>
            </w:r>
          </w:p>
        </w:tc>
      </w:tr>
    </w:tbl>
    <w:p w14:paraId="65268D98">
      <w:pPr>
        <w:keepNext w:val="0"/>
        <w:keepLines w:val="0"/>
        <w:widowControl w:val="0"/>
        <w:suppressLineNumbers w:val="0"/>
        <w:spacing w:before="0" w:beforeAutospacing="0" w:after="160" w:afterAutospacing="0" w:line="276" w:lineRule="auto"/>
        <w:ind w:left="0" w:right="0"/>
        <w:jc w:val="both"/>
        <w:rPr>
          <w:lang w:val="en-US"/>
        </w:rPr>
      </w:pPr>
    </w:p>
    <w:p w14:paraId="5A3A373C">
      <w:pPr>
        <w:keepNext w:val="0"/>
        <w:keepLines w:val="0"/>
        <w:widowControl w:val="0"/>
        <w:suppressLineNumbers w:val="0"/>
        <w:spacing w:before="0" w:beforeAutospacing="0" w:after="160" w:afterAutospacing="0" w:line="276" w:lineRule="auto"/>
        <w:ind w:left="0" w:right="0" w:firstLine="843"/>
        <w:jc w:val="both"/>
        <w:rPr>
          <w:lang w:val="en-US"/>
        </w:rPr>
      </w:pPr>
      <w:r>
        <w:rPr>
          <w:rFonts w:hint="eastAsia" w:ascii="Calibri" w:hAnsi="Calibri" w:eastAsia="宋体" w:cs="宋体"/>
          <w:b/>
          <w:bCs w:val="0"/>
          <w:color w:val="000000"/>
          <w:kern w:val="2"/>
          <w:sz w:val="21"/>
          <w:szCs w:val="24"/>
          <w:lang w:val="en-US" w:eastAsia="zh-CN" w:bidi="ar"/>
        </w:rPr>
        <w:t>附件</w:t>
      </w:r>
      <w:r>
        <w:rPr>
          <w:rFonts w:hint="default" w:ascii="Calibri" w:hAnsi="Calibri" w:eastAsia="宋体" w:cs="Times New Roman"/>
          <w:b/>
          <w:bCs w:val="0"/>
          <w:color w:val="000000"/>
          <w:kern w:val="2"/>
          <w:sz w:val="21"/>
          <w:szCs w:val="24"/>
          <w:lang w:val="en-US" w:eastAsia="zh-CN" w:bidi="ar"/>
        </w:rPr>
        <w:t>2</w:t>
      </w:r>
      <w:r>
        <w:rPr>
          <w:rFonts w:hint="eastAsia" w:ascii="Calibri" w:hAnsi="Calibri" w:eastAsia="宋体" w:cs="宋体"/>
          <w:b/>
          <w:bCs w:val="0"/>
          <w:color w:val="000000"/>
          <w:kern w:val="2"/>
          <w:sz w:val="21"/>
          <w:szCs w:val="24"/>
          <w:lang w:val="en-US" w:eastAsia="zh-CN" w:bidi="ar"/>
        </w:rPr>
        <w:t>、广州市干部和人才健康管理中心保安员配置要求表</w:t>
      </w:r>
    </w:p>
    <w:tbl>
      <w:tblPr>
        <w:tblStyle w:val="2"/>
        <w:tblpPr w:leftFromText="180" w:rightFromText="180" w:vertAnchor="text" w:horzAnchor="page" w:tblpX="1801" w:tblpY="608"/>
        <w:tblOverlap w:val="never"/>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1946"/>
        <w:gridCol w:w="3547"/>
        <w:gridCol w:w="3029"/>
      </w:tblGrid>
      <w:tr w14:paraId="51489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46"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14:paraId="40C8DB37">
            <w:pPr>
              <w:pStyle w:val="5"/>
              <w:widowControl/>
              <w:spacing w:line="440" w:lineRule="exact"/>
              <w:jc w:val="left"/>
              <w:rPr>
                <w:rFonts w:hint="eastAsia" w:ascii="宋体" w:hAnsi="宋体" w:eastAsia="宋体" w:cs="宋体"/>
                <w:b/>
                <w:bCs w:val="0"/>
                <w:sz w:val="24"/>
                <w:szCs w:val="24"/>
                <w:lang w:val="en-US"/>
              </w:rPr>
            </w:pPr>
            <w:r>
              <w:rPr>
                <w:rFonts w:hint="eastAsia" w:ascii="宋体" w:hAnsi="宋体" w:eastAsia="宋体" w:cs="宋体"/>
                <w:b/>
                <w:bCs w:val="0"/>
                <w:sz w:val="24"/>
                <w:szCs w:val="24"/>
              </w:rPr>
              <w:t>岗位名称</w:t>
            </w:r>
          </w:p>
        </w:tc>
        <w:tc>
          <w:tcPr>
            <w:tcW w:w="657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14:paraId="1AB12EA5">
            <w:pPr>
              <w:pStyle w:val="5"/>
              <w:widowControl/>
              <w:spacing w:line="440" w:lineRule="exact"/>
              <w:jc w:val="left"/>
              <w:rPr>
                <w:rFonts w:hint="eastAsia" w:ascii="宋体" w:hAnsi="宋体" w:eastAsia="宋体" w:cs="宋体"/>
                <w:b/>
                <w:bCs w:val="0"/>
                <w:sz w:val="24"/>
                <w:szCs w:val="24"/>
                <w:lang w:val="en-US"/>
              </w:rPr>
            </w:pPr>
            <w:r>
              <w:rPr>
                <w:rFonts w:hint="eastAsia" w:ascii="宋体" w:hAnsi="宋体" w:eastAsia="宋体" w:cs="宋体"/>
                <w:b/>
                <w:bCs w:val="0"/>
                <w:sz w:val="24"/>
                <w:szCs w:val="24"/>
              </w:rPr>
              <w:t>任职条件</w:t>
            </w:r>
          </w:p>
        </w:tc>
      </w:tr>
      <w:tr w14:paraId="1F50D7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c>
          <w:tcPr>
            <w:tcW w:w="1946"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14:paraId="7260F73E">
            <w:pPr>
              <w:keepNext w:val="0"/>
              <w:keepLines w:val="0"/>
              <w:suppressLineNumbers w:val="0"/>
              <w:spacing w:before="0" w:beforeAutospacing="0" w:after="160" w:afterAutospacing="0" w:line="276" w:lineRule="auto"/>
              <w:ind w:left="0" w:right="0"/>
              <w:rPr>
                <w:rFonts w:hint="default" w:ascii="Arial" w:hAnsi="Arial" w:cs="Arial"/>
                <w:sz w:val="20"/>
                <w:szCs w:val="20"/>
              </w:rPr>
            </w:pPr>
          </w:p>
        </w:tc>
        <w:tc>
          <w:tcPr>
            <w:tcW w:w="3547" w:type="dxa"/>
            <w:tcBorders>
              <w:top w:val="single" w:color="auto" w:sz="4" w:space="0"/>
              <w:left w:val="single" w:color="auto" w:sz="4" w:space="0"/>
              <w:bottom w:val="single" w:color="auto" w:sz="4" w:space="0"/>
              <w:right w:val="single" w:color="auto" w:sz="4" w:space="0"/>
            </w:tcBorders>
            <w:shd w:val="clear" w:color="auto" w:fill="auto"/>
            <w:vAlign w:val="center"/>
          </w:tcPr>
          <w:p w14:paraId="46208978">
            <w:pPr>
              <w:pStyle w:val="5"/>
              <w:widowControl/>
              <w:spacing w:line="440" w:lineRule="exact"/>
              <w:jc w:val="left"/>
              <w:rPr>
                <w:rFonts w:hint="eastAsia" w:ascii="宋体" w:hAnsi="宋体" w:eastAsia="宋体" w:cs="宋体"/>
                <w:sz w:val="24"/>
                <w:szCs w:val="24"/>
                <w:lang w:val="en-US"/>
              </w:rPr>
            </w:pPr>
            <w:r>
              <w:rPr>
                <w:rFonts w:hint="eastAsia" w:ascii="宋体" w:hAnsi="宋体" w:eastAsia="宋体" w:cs="宋体"/>
                <w:sz w:val="24"/>
                <w:szCs w:val="24"/>
              </w:rPr>
              <w:t>年龄</w:t>
            </w:r>
          </w:p>
        </w:tc>
        <w:tc>
          <w:tcPr>
            <w:tcW w:w="3029" w:type="dxa"/>
            <w:tcBorders>
              <w:top w:val="single" w:color="auto" w:sz="4" w:space="0"/>
              <w:left w:val="single" w:color="auto" w:sz="4" w:space="0"/>
              <w:bottom w:val="single" w:color="auto" w:sz="4" w:space="0"/>
              <w:right w:val="single" w:color="auto" w:sz="4" w:space="0"/>
            </w:tcBorders>
            <w:shd w:val="clear" w:color="auto" w:fill="auto"/>
            <w:vAlign w:val="center"/>
          </w:tcPr>
          <w:p w14:paraId="5A320BC6">
            <w:pPr>
              <w:pStyle w:val="5"/>
              <w:widowControl/>
              <w:spacing w:line="440" w:lineRule="exact"/>
              <w:jc w:val="left"/>
              <w:rPr>
                <w:rFonts w:hint="eastAsia" w:ascii="宋体" w:hAnsi="宋体" w:eastAsia="宋体" w:cs="宋体"/>
                <w:sz w:val="24"/>
                <w:szCs w:val="24"/>
                <w:lang w:val="en-US"/>
              </w:rPr>
            </w:pPr>
            <w:r>
              <w:rPr>
                <w:rFonts w:hint="eastAsia" w:ascii="宋体" w:hAnsi="宋体" w:eastAsia="宋体" w:cs="宋体"/>
                <w:sz w:val="24"/>
                <w:szCs w:val="24"/>
              </w:rPr>
              <w:t>身高</w:t>
            </w:r>
          </w:p>
        </w:tc>
      </w:tr>
      <w:tr w14:paraId="299599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5" w:hRule="atLeast"/>
        </w:trPr>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7047AA4F">
            <w:pPr>
              <w:pStyle w:val="5"/>
              <w:widowControl/>
              <w:spacing w:line="440" w:lineRule="exact"/>
              <w:jc w:val="left"/>
              <w:rPr>
                <w:rFonts w:hint="eastAsia" w:ascii="宋体" w:hAnsi="宋体" w:eastAsia="宋体" w:cs="宋体"/>
                <w:sz w:val="24"/>
                <w:szCs w:val="24"/>
                <w:lang w:val="en-US"/>
              </w:rPr>
            </w:pPr>
            <w:r>
              <w:rPr>
                <w:rFonts w:hint="eastAsia" w:ascii="Calibri" w:hAnsi="Calibri" w:eastAsia="宋体" w:cs="宋体"/>
                <w:color w:val="000000"/>
                <w:kern w:val="2"/>
                <w:sz w:val="21"/>
                <w:szCs w:val="24"/>
                <w:lang w:val="en-US" w:eastAsia="zh-CN" w:bidi="ar"/>
              </w:rPr>
              <w:t>保安管理人员</w:t>
            </w:r>
          </w:p>
        </w:tc>
        <w:tc>
          <w:tcPr>
            <w:tcW w:w="3547" w:type="dxa"/>
            <w:tcBorders>
              <w:top w:val="single" w:color="auto" w:sz="4" w:space="0"/>
              <w:left w:val="single" w:color="auto" w:sz="4" w:space="0"/>
              <w:bottom w:val="single" w:color="auto" w:sz="4" w:space="0"/>
              <w:right w:val="single" w:color="auto" w:sz="4" w:space="0"/>
            </w:tcBorders>
            <w:shd w:val="clear" w:color="auto" w:fill="auto"/>
            <w:vAlign w:val="center"/>
          </w:tcPr>
          <w:p w14:paraId="064C8677">
            <w:pPr>
              <w:pStyle w:val="5"/>
              <w:widowControl/>
              <w:spacing w:line="440" w:lineRule="exact"/>
              <w:jc w:val="left"/>
              <w:rPr>
                <w:rFonts w:hint="eastAsia" w:ascii="宋体" w:hAnsi="宋体" w:eastAsia="宋体" w:cs="宋体"/>
                <w:sz w:val="24"/>
                <w:szCs w:val="24"/>
                <w:lang w:val="en-US"/>
              </w:rPr>
            </w:pPr>
            <w:r>
              <w:rPr>
                <w:rFonts w:hint="eastAsia" w:ascii="宋体" w:hAnsi="宋体" w:eastAsia="宋体" w:cs="宋体"/>
                <w:sz w:val="24"/>
                <w:szCs w:val="24"/>
              </w:rPr>
              <w:t>≤</w:t>
            </w:r>
            <w:r>
              <w:rPr>
                <w:rFonts w:hint="eastAsia" w:ascii="宋体" w:hAnsi="宋体" w:eastAsia="宋体" w:cs="宋体"/>
                <w:sz w:val="24"/>
                <w:szCs w:val="24"/>
                <w:lang w:val="en-US"/>
              </w:rPr>
              <w:t>48</w:t>
            </w:r>
          </w:p>
        </w:tc>
        <w:tc>
          <w:tcPr>
            <w:tcW w:w="3029" w:type="dxa"/>
            <w:tcBorders>
              <w:top w:val="single" w:color="auto" w:sz="4" w:space="0"/>
              <w:left w:val="single" w:color="auto" w:sz="4" w:space="0"/>
              <w:bottom w:val="single" w:color="auto" w:sz="4" w:space="0"/>
              <w:right w:val="single" w:color="auto" w:sz="4" w:space="0"/>
            </w:tcBorders>
            <w:shd w:val="clear" w:color="auto" w:fill="auto"/>
            <w:vAlign w:val="center"/>
          </w:tcPr>
          <w:p w14:paraId="52412B76">
            <w:pPr>
              <w:pStyle w:val="5"/>
              <w:widowControl/>
              <w:spacing w:line="440" w:lineRule="exact"/>
              <w:jc w:val="left"/>
              <w:rPr>
                <w:rFonts w:hint="eastAsia" w:ascii="宋体" w:hAnsi="宋体" w:eastAsia="宋体" w:cs="宋体"/>
                <w:sz w:val="24"/>
                <w:szCs w:val="24"/>
                <w:lang w:val="en-US"/>
              </w:rPr>
            </w:pPr>
            <w:r>
              <w:rPr>
                <w:rFonts w:hint="eastAsia" w:ascii="宋体" w:hAnsi="宋体" w:eastAsia="宋体" w:cs="宋体"/>
                <w:sz w:val="24"/>
                <w:szCs w:val="24"/>
              </w:rPr>
              <w:t>≥</w:t>
            </w:r>
            <w:r>
              <w:rPr>
                <w:rFonts w:hint="eastAsia" w:ascii="宋体" w:hAnsi="宋体" w:eastAsia="宋体" w:cs="宋体"/>
                <w:sz w:val="24"/>
                <w:szCs w:val="24"/>
                <w:lang w:val="en-US"/>
              </w:rPr>
              <w:t>170cm</w:t>
            </w:r>
          </w:p>
        </w:tc>
      </w:tr>
      <w:tr w14:paraId="2D46EB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580" w:hRule="atLeast"/>
        </w:trPr>
        <w:tc>
          <w:tcPr>
            <w:tcW w:w="1946" w:type="dxa"/>
            <w:tcBorders>
              <w:top w:val="single" w:color="auto" w:sz="4" w:space="0"/>
              <w:left w:val="single" w:color="auto" w:sz="4" w:space="0"/>
              <w:bottom w:val="single" w:color="auto" w:sz="4" w:space="0"/>
              <w:right w:val="single" w:color="auto" w:sz="4" w:space="0"/>
            </w:tcBorders>
            <w:shd w:val="clear" w:color="auto" w:fill="auto"/>
            <w:vAlign w:val="center"/>
          </w:tcPr>
          <w:p w14:paraId="298B9ACF">
            <w:pPr>
              <w:pStyle w:val="5"/>
              <w:widowControl/>
              <w:spacing w:line="440" w:lineRule="exact"/>
              <w:jc w:val="left"/>
              <w:rPr>
                <w:rFonts w:hint="eastAsia" w:ascii="宋体" w:hAnsi="宋体" w:eastAsia="宋体" w:cs="宋体"/>
                <w:sz w:val="24"/>
                <w:szCs w:val="24"/>
                <w:lang w:val="en-US"/>
              </w:rPr>
            </w:pPr>
            <w:r>
              <w:rPr>
                <w:rFonts w:hint="eastAsia" w:ascii="宋体" w:hAnsi="宋体" w:eastAsia="宋体" w:cs="宋体"/>
                <w:sz w:val="24"/>
                <w:szCs w:val="24"/>
              </w:rPr>
              <w:t>早中晚班保安领班（巡逻岗）</w:t>
            </w:r>
          </w:p>
        </w:tc>
        <w:tc>
          <w:tcPr>
            <w:tcW w:w="3547" w:type="dxa"/>
            <w:tcBorders>
              <w:top w:val="single" w:color="auto" w:sz="4" w:space="0"/>
              <w:left w:val="single" w:color="auto" w:sz="4" w:space="0"/>
              <w:bottom w:val="single" w:color="auto" w:sz="4" w:space="0"/>
              <w:right w:val="single" w:color="auto" w:sz="4" w:space="0"/>
            </w:tcBorders>
            <w:shd w:val="clear" w:color="auto" w:fill="auto"/>
            <w:vAlign w:val="center"/>
          </w:tcPr>
          <w:p w14:paraId="4E12F14D">
            <w:pPr>
              <w:pStyle w:val="5"/>
              <w:widowControl/>
              <w:spacing w:line="440" w:lineRule="exact"/>
              <w:jc w:val="left"/>
              <w:rPr>
                <w:rFonts w:hint="eastAsia" w:ascii="宋体" w:hAnsi="宋体" w:eastAsia="宋体" w:cs="宋体"/>
                <w:sz w:val="24"/>
                <w:szCs w:val="24"/>
                <w:lang w:val="en-US"/>
              </w:rPr>
            </w:pPr>
            <w:r>
              <w:rPr>
                <w:rFonts w:hint="eastAsia" w:ascii="宋体" w:hAnsi="宋体" w:eastAsia="宋体" w:cs="宋体"/>
                <w:sz w:val="24"/>
                <w:szCs w:val="24"/>
              </w:rPr>
              <w:t>≤</w:t>
            </w:r>
            <w:r>
              <w:rPr>
                <w:rFonts w:hint="eastAsia" w:ascii="宋体" w:hAnsi="宋体" w:eastAsia="宋体" w:cs="宋体"/>
                <w:sz w:val="24"/>
                <w:szCs w:val="24"/>
                <w:lang w:val="en-US"/>
              </w:rPr>
              <w:t>50</w:t>
            </w:r>
          </w:p>
        </w:tc>
        <w:tc>
          <w:tcPr>
            <w:tcW w:w="3029" w:type="dxa"/>
            <w:tcBorders>
              <w:top w:val="single" w:color="auto" w:sz="4" w:space="0"/>
              <w:left w:val="single" w:color="auto" w:sz="4" w:space="0"/>
              <w:bottom w:val="single" w:color="auto" w:sz="4" w:space="0"/>
              <w:right w:val="single" w:color="auto" w:sz="4" w:space="0"/>
            </w:tcBorders>
            <w:shd w:val="clear" w:color="auto" w:fill="auto"/>
            <w:vAlign w:val="center"/>
          </w:tcPr>
          <w:p w14:paraId="2A15E942">
            <w:pPr>
              <w:pStyle w:val="5"/>
              <w:widowControl/>
              <w:spacing w:line="440" w:lineRule="exact"/>
              <w:jc w:val="left"/>
              <w:rPr>
                <w:rFonts w:hint="eastAsia" w:ascii="宋体" w:hAnsi="宋体" w:eastAsia="宋体" w:cs="宋体"/>
                <w:sz w:val="24"/>
                <w:szCs w:val="24"/>
                <w:lang w:val="en-US"/>
              </w:rPr>
            </w:pPr>
            <w:r>
              <w:rPr>
                <w:rFonts w:hint="eastAsia" w:ascii="宋体" w:hAnsi="宋体" w:eastAsia="宋体" w:cs="宋体"/>
                <w:sz w:val="24"/>
                <w:szCs w:val="24"/>
              </w:rPr>
              <w:t>≥</w:t>
            </w:r>
            <w:r>
              <w:rPr>
                <w:rFonts w:hint="eastAsia" w:ascii="宋体" w:hAnsi="宋体" w:eastAsia="宋体" w:cs="宋体"/>
                <w:sz w:val="24"/>
                <w:szCs w:val="24"/>
                <w:lang w:val="en-US"/>
              </w:rPr>
              <w:t>170cm</w:t>
            </w:r>
          </w:p>
        </w:tc>
      </w:tr>
      <w:tr w14:paraId="253FDE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167" w:hRule="atLeast"/>
        </w:trPr>
        <w:tc>
          <w:tcPr>
            <w:tcW w:w="852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3ED4953E">
            <w:pPr>
              <w:pStyle w:val="5"/>
              <w:widowControl/>
              <w:spacing w:line="400" w:lineRule="atLeast"/>
              <w:jc w:val="left"/>
              <w:rPr>
                <w:rFonts w:hint="eastAsia" w:ascii="宋体" w:hAnsi="宋体" w:eastAsia="宋体" w:cs="宋体"/>
                <w:kern w:val="0"/>
                <w:sz w:val="24"/>
                <w:szCs w:val="22"/>
                <w:lang w:val="en-US"/>
              </w:rPr>
            </w:pPr>
            <w:r>
              <w:rPr>
                <w:rFonts w:hint="eastAsia" w:ascii="宋体" w:hAnsi="宋体" w:eastAsia="宋体" w:cs="宋体"/>
                <w:sz w:val="24"/>
                <w:szCs w:val="22"/>
              </w:rPr>
              <w:t>说明：有资质要求的岗位必须具备相应资质； 如聘用的管理人员经验丰富，实际管理能力强，身体健康，经采购人同意后，任职条件可适当放宽。</w:t>
            </w:r>
          </w:p>
        </w:tc>
      </w:tr>
    </w:tbl>
    <w:p w14:paraId="67211BBB">
      <w:pPr>
        <w:jc w:val="both"/>
        <w:rPr>
          <w:sz w:val="24"/>
        </w:rPr>
      </w:pPr>
    </w:p>
    <w:p w14:paraId="4FB7EA2C">
      <w:pPr>
        <w:jc w:val="left"/>
      </w:pPr>
      <w:r>
        <w:rPr>
          <w:b/>
          <w:sz w:val="24"/>
        </w:rPr>
        <w:t>第二十</w:t>
      </w:r>
      <w:r>
        <w:rPr>
          <w:rFonts w:hint="eastAsia"/>
          <w:b/>
          <w:sz w:val="24"/>
          <w:lang w:val="en-US" w:eastAsia="zh-CN"/>
        </w:rPr>
        <w:t>八</w:t>
      </w:r>
      <w:r>
        <w:rPr>
          <w:b/>
          <w:sz w:val="24"/>
        </w:rPr>
        <w:t>条</w:t>
      </w:r>
      <w:r>
        <w:rPr>
          <w:sz w:val="24"/>
        </w:rPr>
        <w:t>本合同一式</w:t>
      </w:r>
      <w:r>
        <w:rPr>
          <w:sz w:val="24"/>
          <w:u w:val="single"/>
        </w:rPr>
        <w:t>柒</w:t>
      </w:r>
      <w:r>
        <w:rPr>
          <w:sz w:val="24"/>
        </w:rPr>
        <w:t>份，具有同等法律效力，甲方执</w:t>
      </w:r>
      <w:r>
        <w:rPr>
          <w:sz w:val="24"/>
          <w:u w:val="single"/>
        </w:rPr>
        <w:t>伍</w:t>
      </w:r>
      <w:r>
        <w:rPr>
          <w:sz w:val="24"/>
        </w:rPr>
        <w:t>份、乙方执</w:t>
      </w:r>
      <w:r>
        <w:rPr>
          <w:sz w:val="24"/>
          <w:u w:val="single"/>
        </w:rPr>
        <w:t>贰</w:t>
      </w:r>
      <w:r>
        <w:rPr>
          <w:sz w:val="24"/>
        </w:rPr>
        <w:t>份。合同自双方签字盖章之日起生效。</w:t>
      </w:r>
    </w:p>
    <w:p w14:paraId="06D9232B">
      <w:pPr>
        <w:jc w:val="left"/>
      </w:pPr>
      <w:r>
        <w:rPr>
          <w:sz w:val="24"/>
        </w:rPr>
        <w:t>（以下无正文）</w:t>
      </w:r>
    </w:p>
    <w:p w14:paraId="42163163">
      <w:pPr>
        <w:jc w:val="left"/>
      </w:pPr>
    </w:p>
    <w:tbl>
      <w:tblPr>
        <w:tblStyle w:val="2"/>
        <w:tblW w:w="8304"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1259"/>
        <w:gridCol w:w="2833"/>
        <w:gridCol w:w="1199"/>
        <w:gridCol w:w="3013"/>
      </w:tblGrid>
      <w:tr w14:paraId="172FB8E1">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59" w:type="dxa"/>
            <w:tcBorders>
              <w:top w:val="single" w:color="000000" w:sz="4" w:space="0"/>
              <w:left w:val="single" w:color="000000" w:sz="4" w:space="0"/>
              <w:bottom w:val="single" w:color="000000" w:sz="4" w:space="0"/>
              <w:right w:val="single" w:color="000000" w:sz="4" w:space="0"/>
            </w:tcBorders>
            <w:vAlign w:val="top"/>
          </w:tcPr>
          <w:p w14:paraId="3BF87626">
            <w:pPr>
              <w:keepNext w:val="0"/>
              <w:keepLines w:val="0"/>
              <w:suppressLineNumbers w:val="0"/>
              <w:spacing w:before="0" w:beforeAutospacing="0" w:after="160" w:afterAutospacing="0" w:line="276" w:lineRule="auto"/>
              <w:ind w:left="0" w:right="0"/>
              <w:jc w:val="both"/>
              <w:rPr>
                <w:rFonts w:hint="default"/>
              </w:rPr>
            </w:pPr>
            <w:r>
              <w:rPr>
                <w:rFonts w:hint="default"/>
                <w:b/>
                <w:sz w:val="24"/>
              </w:rPr>
              <w:t>甲方：</w:t>
            </w:r>
          </w:p>
        </w:tc>
        <w:tc>
          <w:tcPr>
            <w:tcW w:w="2833" w:type="dxa"/>
            <w:tcBorders>
              <w:top w:val="single" w:color="000000" w:sz="4" w:space="0"/>
              <w:left w:val="nil"/>
              <w:bottom w:val="single" w:color="000000" w:sz="4" w:space="0"/>
              <w:right w:val="single" w:color="000000" w:sz="4" w:space="0"/>
            </w:tcBorders>
            <w:vAlign w:val="top"/>
          </w:tcPr>
          <w:p w14:paraId="14ED1D7C">
            <w:pPr>
              <w:keepNext w:val="0"/>
              <w:keepLines w:val="0"/>
              <w:suppressLineNumbers w:val="0"/>
              <w:spacing w:before="0" w:beforeAutospacing="0" w:after="160" w:afterAutospacing="0" w:line="276" w:lineRule="auto"/>
              <w:ind w:left="0" w:right="0"/>
              <w:jc w:val="both"/>
              <w:rPr>
                <w:rFonts w:hint="default"/>
              </w:rPr>
            </w:pPr>
            <w:r>
              <w:rPr>
                <w:rFonts w:hint="eastAsia"/>
                <w:sz w:val="24"/>
                <w:lang w:eastAsia="zh-CN"/>
              </w:rPr>
              <w:t>广州市干部和人才健康管理中心</w:t>
            </w:r>
            <w:r>
              <w:rPr>
                <w:rFonts w:hint="default"/>
                <w:sz w:val="24"/>
              </w:rPr>
              <w:t>（盖章）</w:t>
            </w:r>
          </w:p>
        </w:tc>
        <w:tc>
          <w:tcPr>
            <w:tcW w:w="1199" w:type="dxa"/>
            <w:tcBorders>
              <w:top w:val="single" w:color="000000" w:sz="4" w:space="0"/>
              <w:left w:val="nil"/>
              <w:bottom w:val="single" w:color="000000" w:sz="4" w:space="0"/>
              <w:right w:val="single" w:color="000000" w:sz="4" w:space="0"/>
            </w:tcBorders>
            <w:vAlign w:val="top"/>
          </w:tcPr>
          <w:p w14:paraId="0FDABE8E">
            <w:pPr>
              <w:keepNext w:val="0"/>
              <w:keepLines w:val="0"/>
              <w:suppressLineNumbers w:val="0"/>
              <w:spacing w:before="0" w:beforeAutospacing="0" w:after="160" w:afterAutospacing="0" w:line="276" w:lineRule="auto"/>
              <w:ind w:left="0" w:right="0"/>
              <w:jc w:val="both"/>
              <w:rPr>
                <w:rFonts w:hint="default"/>
              </w:rPr>
            </w:pPr>
            <w:r>
              <w:rPr>
                <w:rFonts w:hint="default"/>
                <w:b/>
                <w:sz w:val="24"/>
              </w:rPr>
              <w:t>乙方：</w:t>
            </w:r>
          </w:p>
        </w:tc>
        <w:tc>
          <w:tcPr>
            <w:tcW w:w="3013" w:type="dxa"/>
            <w:tcBorders>
              <w:top w:val="single" w:color="000000" w:sz="4" w:space="0"/>
              <w:left w:val="nil"/>
              <w:bottom w:val="single" w:color="000000" w:sz="4" w:space="0"/>
              <w:right w:val="single" w:color="000000" w:sz="4" w:space="0"/>
            </w:tcBorders>
            <w:vAlign w:val="top"/>
          </w:tcPr>
          <w:p w14:paraId="57FFAA07">
            <w:pPr>
              <w:keepNext w:val="0"/>
              <w:keepLines w:val="0"/>
              <w:suppressLineNumbers w:val="0"/>
              <w:spacing w:before="0" w:beforeAutospacing="0" w:after="160" w:afterAutospacing="0" w:line="276" w:lineRule="auto"/>
              <w:ind w:left="0" w:right="0"/>
              <w:jc w:val="both"/>
              <w:rPr>
                <w:rFonts w:hint="default"/>
              </w:rPr>
            </w:pPr>
            <w:r>
              <w:rPr>
                <w:rFonts w:hint="default"/>
                <w:sz w:val="24"/>
              </w:rPr>
              <w:t>（盖章）</w:t>
            </w:r>
          </w:p>
        </w:tc>
      </w:tr>
      <w:tr w14:paraId="4D0BFA9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59" w:type="dxa"/>
            <w:tcBorders>
              <w:top w:val="nil"/>
              <w:left w:val="single" w:color="000000" w:sz="4" w:space="0"/>
              <w:bottom w:val="single" w:color="000000" w:sz="4" w:space="0"/>
              <w:right w:val="single" w:color="000000" w:sz="4" w:space="0"/>
            </w:tcBorders>
            <w:vAlign w:val="top"/>
          </w:tcPr>
          <w:p w14:paraId="303D5C58">
            <w:pPr>
              <w:keepNext w:val="0"/>
              <w:keepLines w:val="0"/>
              <w:suppressLineNumbers w:val="0"/>
              <w:spacing w:before="0" w:beforeAutospacing="0" w:after="160" w:afterAutospacing="0" w:line="276" w:lineRule="auto"/>
              <w:ind w:left="0" w:right="0"/>
              <w:jc w:val="both"/>
              <w:rPr>
                <w:rFonts w:hint="default"/>
              </w:rPr>
            </w:pPr>
            <w:r>
              <w:rPr>
                <w:rFonts w:hint="default"/>
                <w:b/>
                <w:sz w:val="24"/>
              </w:rPr>
              <w:t>法定代表</w:t>
            </w:r>
            <w:r>
              <w:rPr>
                <w:rFonts w:hint="eastAsia"/>
                <w:b/>
                <w:sz w:val="24"/>
                <w:lang w:val="en-US" w:eastAsia="zh-CN"/>
              </w:rPr>
              <w:t>人</w:t>
            </w:r>
            <w:r>
              <w:rPr>
                <w:rFonts w:hint="default"/>
                <w:b/>
                <w:sz w:val="24"/>
              </w:rPr>
              <w:t>：</w:t>
            </w:r>
          </w:p>
        </w:tc>
        <w:tc>
          <w:tcPr>
            <w:tcW w:w="2833" w:type="dxa"/>
            <w:tcBorders>
              <w:top w:val="nil"/>
              <w:left w:val="nil"/>
              <w:bottom w:val="single" w:color="000000" w:sz="4" w:space="0"/>
              <w:right w:val="single" w:color="000000" w:sz="4" w:space="0"/>
            </w:tcBorders>
            <w:vAlign w:val="top"/>
          </w:tcPr>
          <w:p w14:paraId="69F318FE">
            <w:pPr>
              <w:keepNext w:val="0"/>
              <w:keepLines w:val="0"/>
              <w:suppressLineNumbers w:val="0"/>
              <w:spacing w:before="0" w:beforeAutospacing="0" w:after="160" w:afterAutospacing="0" w:line="276" w:lineRule="auto"/>
              <w:ind w:left="0" w:right="0"/>
              <w:jc w:val="both"/>
              <w:rPr>
                <w:rFonts w:hint="default"/>
              </w:rPr>
            </w:pPr>
          </w:p>
        </w:tc>
        <w:tc>
          <w:tcPr>
            <w:tcW w:w="1199" w:type="dxa"/>
            <w:tcBorders>
              <w:top w:val="nil"/>
              <w:left w:val="nil"/>
              <w:bottom w:val="single" w:color="000000" w:sz="4" w:space="0"/>
              <w:right w:val="single" w:color="000000" w:sz="4" w:space="0"/>
            </w:tcBorders>
            <w:vAlign w:val="top"/>
          </w:tcPr>
          <w:p w14:paraId="30C2108C">
            <w:pPr>
              <w:keepNext w:val="0"/>
              <w:keepLines w:val="0"/>
              <w:suppressLineNumbers w:val="0"/>
              <w:spacing w:before="0" w:beforeAutospacing="0" w:after="160" w:afterAutospacing="0" w:line="276" w:lineRule="auto"/>
              <w:ind w:left="0" w:right="0"/>
              <w:jc w:val="both"/>
              <w:rPr>
                <w:rFonts w:hint="default"/>
              </w:rPr>
            </w:pPr>
            <w:r>
              <w:rPr>
                <w:rFonts w:hint="default"/>
                <w:b/>
                <w:sz w:val="24"/>
              </w:rPr>
              <w:t>法定代表</w:t>
            </w:r>
            <w:r>
              <w:rPr>
                <w:rFonts w:hint="eastAsia"/>
                <w:b/>
                <w:sz w:val="24"/>
                <w:lang w:val="en-US" w:eastAsia="zh-CN"/>
              </w:rPr>
              <w:t>人</w:t>
            </w:r>
            <w:r>
              <w:rPr>
                <w:rFonts w:hint="default"/>
                <w:b/>
                <w:sz w:val="24"/>
              </w:rPr>
              <w:t>：</w:t>
            </w:r>
          </w:p>
        </w:tc>
        <w:tc>
          <w:tcPr>
            <w:tcW w:w="3013" w:type="dxa"/>
            <w:tcBorders>
              <w:top w:val="nil"/>
              <w:left w:val="nil"/>
              <w:bottom w:val="single" w:color="000000" w:sz="4" w:space="0"/>
              <w:right w:val="single" w:color="000000" w:sz="4" w:space="0"/>
            </w:tcBorders>
            <w:vAlign w:val="top"/>
          </w:tcPr>
          <w:p w14:paraId="6F3D07BA">
            <w:pPr>
              <w:keepNext w:val="0"/>
              <w:keepLines w:val="0"/>
              <w:suppressLineNumbers w:val="0"/>
              <w:spacing w:before="0" w:beforeAutospacing="0" w:after="160" w:afterAutospacing="0" w:line="276" w:lineRule="auto"/>
              <w:ind w:left="0" w:right="0"/>
              <w:jc w:val="both"/>
              <w:rPr>
                <w:rFonts w:hint="default"/>
              </w:rPr>
            </w:pPr>
          </w:p>
        </w:tc>
      </w:tr>
      <w:tr w14:paraId="5312B12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59" w:type="dxa"/>
            <w:tcBorders>
              <w:top w:val="nil"/>
              <w:left w:val="single" w:color="000000" w:sz="4" w:space="0"/>
              <w:bottom w:val="single" w:color="000000" w:sz="4" w:space="0"/>
              <w:right w:val="single" w:color="000000" w:sz="4" w:space="0"/>
            </w:tcBorders>
            <w:vAlign w:val="top"/>
          </w:tcPr>
          <w:p w14:paraId="61E9EA20">
            <w:pPr>
              <w:keepNext w:val="0"/>
              <w:keepLines w:val="0"/>
              <w:suppressLineNumbers w:val="0"/>
              <w:spacing w:before="0" w:beforeAutospacing="0" w:after="160" w:afterAutospacing="0" w:line="276" w:lineRule="auto"/>
              <w:ind w:left="0" w:right="0"/>
              <w:jc w:val="both"/>
              <w:rPr>
                <w:rFonts w:hint="default"/>
              </w:rPr>
            </w:pPr>
            <w:r>
              <w:rPr>
                <w:rFonts w:hint="default"/>
                <w:b/>
                <w:sz w:val="24"/>
              </w:rPr>
              <w:t>地</w:t>
            </w:r>
            <w:r>
              <w:rPr>
                <w:rFonts w:hint="default"/>
                <w:b/>
                <w:sz w:val="21"/>
              </w:rPr>
              <w:t xml:space="preserve">  </w:t>
            </w:r>
            <w:r>
              <w:rPr>
                <w:rFonts w:hint="default"/>
                <w:b/>
                <w:sz w:val="24"/>
              </w:rPr>
              <w:t>址：</w:t>
            </w:r>
          </w:p>
        </w:tc>
        <w:tc>
          <w:tcPr>
            <w:tcW w:w="2833" w:type="dxa"/>
            <w:tcBorders>
              <w:top w:val="nil"/>
              <w:left w:val="nil"/>
              <w:bottom w:val="single" w:color="000000" w:sz="4" w:space="0"/>
              <w:right w:val="single" w:color="000000" w:sz="4" w:space="0"/>
            </w:tcBorders>
            <w:vAlign w:val="top"/>
          </w:tcPr>
          <w:p w14:paraId="587DEE55">
            <w:pPr>
              <w:keepNext w:val="0"/>
              <w:keepLines w:val="0"/>
              <w:suppressLineNumbers w:val="0"/>
              <w:spacing w:before="0" w:beforeAutospacing="0" w:after="160" w:afterAutospacing="0" w:line="276" w:lineRule="auto"/>
              <w:ind w:left="0" w:right="0"/>
              <w:jc w:val="both"/>
              <w:rPr>
                <w:rFonts w:hint="default"/>
              </w:rPr>
            </w:pPr>
            <w:r>
              <w:rPr>
                <w:rFonts w:hint="default"/>
                <w:sz w:val="24"/>
              </w:rPr>
              <w:t>广州市黄埔区长岭路109号</w:t>
            </w:r>
          </w:p>
        </w:tc>
        <w:tc>
          <w:tcPr>
            <w:tcW w:w="1199" w:type="dxa"/>
            <w:tcBorders>
              <w:top w:val="nil"/>
              <w:left w:val="nil"/>
              <w:bottom w:val="single" w:color="000000" w:sz="4" w:space="0"/>
              <w:right w:val="single" w:color="000000" w:sz="4" w:space="0"/>
            </w:tcBorders>
            <w:vAlign w:val="top"/>
          </w:tcPr>
          <w:p w14:paraId="7247C107">
            <w:pPr>
              <w:keepNext w:val="0"/>
              <w:keepLines w:val="0"/>
              <w:suppressLineNumbers w:val="0"/>
              <w:spacing w:before="0" w:beforeAutospacing="0" w:after="160" w:afterAutospacing="0" w:line="276" w:lineRule="auto"/>
              <w:ind w:left="0" w:right="0"/>
              <w:jc w:val="both"/>
              <w:rPr>
                <w:rFonts w:hint="default"/>
              </w:rPr>
            </w:pPr>
            <w:r>
              <w:rPr>
                <w:rFonts w:hint="default"/>
                <w:b/>
                <w:sz w:val="24"/>
              </w:rPr>
              <w:t>地</w:t>
            </w:r>
            <w:r>
              <w:rPr>
                <w:rFonts w:hint="default"/>
                <w:b/>
                <w:sz w:val="21"/>
              </w:rPr>
              <w:t xml:space="preserve">  </w:t>
            </w:r>
            <w:r>
              <w:rPr>
                <w:rFonts w:hint="default"/>
                <w:b/>
                <w:sz w:val="24"/>
              </w:rPr>
              <w:t>址：</w:t>
            </w:r>
          </w:p>
        </w:tc>
        <w:tc>
          <w:tcPr>
            <w:tcW w:w="3013" w:type="dxa"/>
            <w:tcBorders>
              <w:top w:val="nil"/>
              <w:left w:val="nil"/>
              <w:bottom w:val="single" w:color="000000" w:sz="4" w:space="0"/>
              <w:right w:val="single" w:color="000000" w:sz="4" w:space="0"/>
            </w:tcBorders>
            <w:vAlign w:val="top"/>
          </w:tcPr>
          <w:p w14:paraId="3F9921FE">
            <w:pPr>
              <w:keepNext w:val="0"/>
              <w:keepLines w:val="0"/>
              <w:suppressLineNumbers w:val="0"/>
              <w:spacing w:before="0" w:beforeAutospacing="0" w:after="160" w:afterAutospacing="0" w:line="276" w:lineRule="auto"/>
              <w:ind w:left="0" w:right="0"/>
              <w:jc w:val="both"/>
              <w:rPr>
                <w:rFonts w:hint="default"/>
              </w:rPr>
            </w:pPr>
          </w:p>
        </w:tc>
      </w:tr>
      <w:tr w14:paraId="51221216">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59" w:type="dxa"/>
            <w:tcBorders>
              <w:top w:val="nil"/>
              <w:left w:val="single" w:color="000000" w:sz="4" w:space="0"/>
              <w:bottom w:val="single" w:color="000000" w:sz="4" w:space="0"/>
              <w:right w:val="single" w:color="000000" w:sz="4" w:space="0"/>
            </w:tcBorders>
            <w:vAlign w:val="top"/>
          </w:tcPr>
          <w:p w14:paraId="5D2FF57A">
            <w:pPr>
              <w:keepNext w:val="0"/>
              <w:keepLines w:val="0"/>
              <w:suppressLineNumbers w:val="0"/>
              <w:spacing w:before="0" w:beforeAutospacing="0" w:after="160" w:afterAutospacing="0" w:line="276" w:lineRule="auto"/>
              <w:ind w:left="0" w:right="0"/>
              <w:jc w:val="both"/>
              <w:rPr>
                <w:rFonts w:hint="default"/>
              </w:rPr>
            </w:pPr>
            <w:r>
              <w:rPr>
                <w:rFonts w:hint="default"/>
                <w:b/>
                <w:sz w:val="24"/>
              </w:rPr>
              <w:t>电</w:t>
            </w:r>
            <w:r>
              <w:rPr>
                <w:rFonts w:hint="default"/>
                <w:b/>
                <w:sz w:val="21"/>
              </w:rPr>
              <w:t xml:space="preserve">  </w:t>
            </w:r>
            <w:r>
              <w:rPr>
                <w:rFonts w:hint="default"/>
                <w:b/>
                <w:sz w:val="24"/>
              </w:rPr>
              <w:t>话：</w:t>
            </w:r>
          </w:p>
        </w:tc>
        <w:tc>
          <w:tcPr>
            <w:tcW w:w="2833" w:type="dxa"/>
            <w:tcBorders>
              <w:top w:val="nil"/>
              <w:left w:val="nil"/>
              <w:bottom w:val="single" w:color="000000" w:sz="4" w:space="0"/>
              <w:right w:val="single" w:color="000000" w:sz="4" w:space="0"/>
            </w:tcBorders>
            <w:vAlign w:val="top"/>
          </w:tcPr>
          <w:p w14:paraId="2FFEE459">
            <w:pPr>
              <w:keepNext w:val="0"/>
              <w:keepLines w:val="0"/>
              <w:suppressLineNumbers w:val="0"/>
              <w:spacing w:before="0" w:beforeAutospacing="0" w:after="160" w:afterAutospacing="0" w:line="276" w:lineRule="auto"/>
              <w:ind w:left="0" w:right="0"/>
              <w:jc w:val="both"/>
              <w:rPr>
                <w:rFonts w:hint="default"/>
              </w:rPr>
            </w:pPr>
            <w:r>
              <w:rPr>
                <w:rFonts w:hint="default"/>
                <w:sz w:val="24"/>
              </w:rPr>
              <w:t>020-38977284</w:t>
            </w:r>
          </w:p>
        </w:tc>
        <w:tc>
          <w:tcPr>
            <w:tcW w:w="1199" w:type="dxa"/>
            <w:tcBorders>
              <w:top w:val="nil"/>
              <w:left w:val="nil"/>
              <w:bottom w:val="single" w:color="000000" w:sz="4" w:space="0"/>
              <w:right w:val="single" w:color="000000" w:sz="4" w:space="0"/>
            </w:tcBorders>
            <w:vAlign w:val="top"/>
          </w:tcPr>
          <w:p w14:paraId="256CE481">
            <w:pPr>
              <w:keepNext w:val="0"/>
              <w:keepLines w:val="0"/>
              <w:suppressLineNumbers w:val="0"/>
              <w:spacing w:before="0" w:beforeAutospacing="0" w:after="160" w:afterAutospacing="0" w:line="276" w:lineRule="auto"/>
              <w:ind w:left="0" w:right="0"/>
              <w:jc w:val="both"/>
              <w:rPr>
                <w:rFonts w:hint="default"/>
              </w:rPr>
            </w:pPr>
            <w:r>
              <w:rPr>
                <w:rFonts w:hint="default"/>
                <w:b/>
                <w:sz w:val="24"/>
              </w:rPr>
              <w:t>电</w:t>
            </w:r>
            <w:r>
              <w:rPr>
                <w:rFonts w:hint="default"/>
                <w:b/>
                <w:sz w:val="21"/>
              </w:rPr>
              <w:t xml:space="preserve">  </w:t>
            </w:r>
            <w:r>
              <w:rPr>
                <w:rFonts w:hint="default"/>
                <w:b/>
                <w:sz w:val="24"/>
              </w:rPr>
              <w:t>话：</w:t>
            </w:r>
          </w:p>
        </w:tc>
        <w:tc>
          <w:tcPr>
            <w:tcW w:w="3013" w:type="dxa"/>
            <w:tcBorders>
              <w:top w:val="nil"/>
              <w:left w:val="nil"/>
              <w:bottom w:val="single" w:color="000000" w:sz="4" w:space="0"/>
              <w:right w:val="single" w:color="000000" w:sz="4" w:space="0"/>
            </w:tcBorders>
            <w:vAlign w:val="top"/>
          </w:tcPr>
          <w:p w14:paraId="67A9F466">
            <w:pPr>
              <w:keepNext w:val="0"/>
              <w:keepLines w:val="0"/>
              <w:suppressLineNumbers w:val="0"/>
              <w:spacing w:before="0" w:beforeAutospacing="0" w:after="160" w:afterAutospacing="0" w:line="276" w:lineRule="auto"/>
              <w:ind w:left="0" w:right="0"/>
              <w:jc w:val="both"/>
              <w:rPr>
                <w:rFonts w:hint="default"/>
              </w:rPr>
            </w:pPr>
          </w:p>
        </w:tc>
      </w:tr>
      <w:tr w14:paraId="5AFDAD78">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59" w:type="dxa"/>
            <w:tcBorders>
              <w:top w:val="nil"/>
              <w:left w:val="single" w:color="000000" w:sz="4" w:space="0"/>
              <w:bottom w:val="single" w:color="000000" w:sz="4" w:space="0"/>
              <w:right w:val="single" w:color="000000" w:sz="4" w:space="0"/>
            </w:tcBorders>
            <w:vAlign w:val="top"/>
          </w:tcPr>
          <w:p w14:paraId="7F549B08">
            <w:pPr>
              <w:keepNext w:val="0"/>
              <w:keepLines w:val="0"/>
              <w:suppressLineNumbers w:val="0"/>
              <w:spacing w:before="0" w:beforeAutospacing="0" w:after="160" w:afterAutospacing="0" w:line="276" w:lineRule="auto"/>
              <w:ind w:left="0" w:right="0"/>
              <w:jc w:val="both"/>
              <w:rPr>
                <w:rFonts w:hint="default"/>
              </w:rPr>
            </w:pPr>
            <w:r>
              <w:rPr>
                <w:rFonts w:hint="default"/>
                <w:b/>
                <w:sz w:val="24"/>
              </w:rPr>
              <w:t>传</w:t>
            </w:r>
            <w:r>
              <w:rPr>
                <w:rFonts w:hint="default"/>
                <w:b/>
                <w:sz w:val="21"/>
              </w:rPr>
              <w:t xml:space="preserve">  </w:t>
            </w:r>
            <w:r>
              <w:rPr>
                <w:rFonts w:hint="default"/>
                <w:b/>
                <w:sz w:val="24"/>
              </w:rPr>
              <w:t>真：</w:t>
            </w:r>
          </w:p>
        </w:tc>
        <w:tc>
          <w:tcPr>
            <w:tcW w:w="2833" w:type="dxa"/>
            <w:tcBorders>
              <w:top w:val="nil"/>
              <w:left w:val="nil"/>
              <w:bottom w:val="single" w:color="000000" w:sz="4" w:space="0"/>
              <w:right w:val="single" w:color="000000" w:sz="4" w:space="0"/>
            </w:tcBorders>
            <w:vAlign w:val="top"/>
          </w:tcPr>
          <w:p w14:paraId="24987F26">
            <w:pPr>
              <w:keepNext w:val="0"/>
              <w:keepLines w:val="0"/>
              <w:suppressLineNumbers w:val="0"/>
              <w:spacing w:before="0" w:beforeAutospacing="0" w:after="160" w:afterAutospacing="0" w:line="276" w:lineRule="auto"/>
              <w:ind w:left="0" w:right="0"/>
              <w:jc w:val="both"/>
              <w:rPr>
                <w:rFonts w:hint="default"/>
              </w:rPr>
            </w:pPr>
            <w:r>
              <w:rPr>
                <w:rFonts w:hint="default"/>
                <w:sz w:val="24"/>
              </w:rPr>
              <w:t>020-38977284</w:t>
            </w:r>
          </w:p>
        </w:tc>
        <w:tc>
          <w:tcPr>
            <w:tcW w:w="1199" w:type="dxa"/>
            <w:tcBorders>
              <w:top w:val="nil"/>
              <w:left w:val="nil"/>
              <w:bottom w:val="single" w:color="000000" w:sz="4" w:space="0"/>
              <w:right w:val="single" w:color="000000" w:sz="4" w:space="0"/>
            </w:tcBorders>
            <w:vAlign w:val="top"/>
          </w:tcPr>
          <w:p w14:paraId="504BA954">
            <w:pPr>
              <w:keepNext w:val="0"/>
              <w:keepLines w:val="0"/>
              <w:suppressLineNumbers w:val="0"/>
              <w:spacing w:before="0" w:beforeAutospacing="0" w:after="160" w:afterAutospacing="0" w:line="276" w:lineRule="auto"/>
              <w:ind w:left="0" w:right="0"/>
              <w:jc w:val="both"/>
              <w:rPr>
                <w:rFonts w:hint="default"/>
              </w:rPr>
            </w:pPr>
            <w:r>
              <w:rPr>
                <w:rFonts w:hint="default"/>
                <w:b/>
                <w:sz w:val="24"/>
              </w:rPr>
              <w:t>传</w:t>
            </w:r>
            <w:r>
              <w:rPr>
                <w:rFonts w:hint="default"/>
                <w:b/>
                <w:sz w:val="21"/>
              </w:rPr>
              <w:t xml:space="preserve">  </w:t>
            </w:r>
            <w:r>
              <w:rPr>
                <w:rFonts w:hint="default"/>
                <w:b/>
                <w:sz w:val="24"/>
              </w:rPr>
              <w:t>真：</w:t>
            </w:r>
          </w:p>
        </w:tc>
        <w:tc>
          <w:tcPr>
            <w:tcW w:w="3013" w:type="dxa"/>
            <w:tcBorders>
              <w:top w:val="nil"/>
              <w:left w:val="nil"/>
              <w:bottom w:val="single" w:color="000000" w:sz="4" w:space="0"/>
              <w:right w:val="single" w:color="000000" w:sz="4" w:space="0"/>
            </w:tcBorders>
            <w:vAlign w:val="top"/>
          </w:tcPr>
          <w:p w14:paraId="061C0BA8">
            <w:pPr>
              <w:keepNext w:val="0"/>
              <w:keepLines w:val="0"/>
              <w:suppressLineNumbers w:val="0"/>
              <w:spacing w:before="0" w:beforeAutospacing="0" w:after="160" w:afterAutospacing="0" w:line="276" w:lineRule="auto"/>
              <w:ind w:left="0" w:right="0"/>
              <w:jc w:val="both"/>
              <w:rPr>
                <w:rFonts w:hint="default"/>
              </w:rPr>
            </w:pPr>
          </w:p>
        </w:tc>
      </w:tr>
      <w:tr w14:paraId="3431CCFA">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CellMar>
            <w:top w:w="0" w:type="dxa"/>
            <w:left w:w="108" w:type="dxa"/>
            <w:bottom w:w="0" w:type="dxa"/>
            <w:right w:w="108" w:type="dxa"/>
          </w:tblCellMar>
        </w:tblPrEx>
        <w:tc>
          <w:tcPr>
            <w:tcW w:w="1259" w:type="dxa"/>
            <w:tcBorders>
              <w:top w:val="nil"/>
              <w:left w:val="single" w:color="000000" w:sz="4" w:space="0"/>
              <w:bottom w:val="single" w:color="000000" w:sz="4" w:space="0"/>
              <w:right w:val="single" w:color="000000" w:sz="4" w:space="0"/>
            </w:tcBorders>
            <w:vAlign w:val="top"/>
          </w:tcPr>
          <w:p w14:paraId="6CE62CF5">
            <w:pPr>
              <w:keepNext w:val="0"/>
              <w:keepLines w:val="0"/>
              <w:suppressLineNumbers w:val="0"/>
              <w:spacing w:before="0" w:beforeAutospacing="0" w:after="160" w:afterAutospacing="0" w:line="276" w:lineRule="auto"/>
              <w:ind w:left="0" w:right="0"/>
              <w:jc w:val="both"/>
              <w:rPr>
                <w:rFonts w:hint="default"/>
              </w:rPr>
            </w:pPr>
            <w:r>
              <w:rPr>
                <w:rFonts w:hint="default"/>
                <w:b/>
                <w:sz w:val="24"/>
              </w:rPr>
              <w:t>签约日期：</w:t>
            </w:r>
          </w:p>
        </w:tc>
        <w:tc>
          <w:tcPr>
            <w:tcW w:w="2833" w:type="dxa"/>
            <w:tcBorders>
              <w:top w:val="nil"/>
              <w:left w:val="nil"/>
              <w:bottom w:val="single" w:color="000000" w:sz="4" w:space="0"/>
              <w:right w:val="single" w:color="000000" w:sz="4" w:space="0"/>
            </w:tcBorders>
            <w:vAlign w:val="top"/>
          </w:tcPr>
          <w:p w14:paraId="4B8C6D36">
            <w:pPr>
              <w:keepNext w:val="0"/>
              <w:keepLines w:val="0"/>
              <w:suppressLineNumbers w:val="0"/>
              <w:spacing w:before="0" w:beforeAutospacing="0" w:after="160" w:afterAutospacing="0" w:line="276" w:lineRule="auto"/>
              <w:ind w:left="0" w:right="0" w:firstLine="240"/>
              <w:jc w:val="both"/>
              <w:rPr>
                <w:rFonts w:hint="default"/>
              </w:rPr>
            </w:pPr>
            <w:r>
              <w:rPr>
                <w:rFonts w:hint="default"/>
                <w:sz w:val="21"/>
              </w:rPr>
              <w:t xml:space="preserve"> </w:t>
            </w:r>
            <w:r>
              <w:rPr>
                <w:rFonts w:hint="default"/>
                <w:sz w:val="24"/>
              </w:rPr>
              <w:t>年</w:t>
            </w:r>
            <w:r>
              <w:rPr>
                <w:rFonts w:hint="default"/>
                <w:sz w:val="21"/>
              </w:rPr>
              <w:t xml:space="preserve"> </w:t>
            </w:r>
            <w:r>
              <w:rPr>
                <w:rFonts w:hint="default"/>
                <w:sz w:val="24"/>
              </w:rPr>
              <w:t>月</w:t>
            </w:r>
            <w:r>
              <w:rPr>
                <w:rFonts w:hint="default"/>
                <w:sz w:val="21"/>
              </w:rPr>
              <w:t xml:space="preserve"> </w:t>
            </w:r>
            <w:r>
              <w:rPr>
                <w:rFonts w:hint="default"/>
                <w:sz w:val="24"/>
              </w:rPr>
              <w:t>日</w:t>
            </w:r>
          </w:p>
        </w:tc>
        <w:tc>
          <w:tcPr>
            <w:tcW w:w="1199" w:type="dxa"/>
            <w:tcBorders>
              <w:top w:val="nil"/>
              <w:left w:val="nil"/>
              <w:bottom w:val="single" w:color="000000" w:sz="4" w:space="0"/>
              <w:right w:val="single" w:color="000000" w:sz="4" w:space="0"/>
            </w:tcBorders>
            <w:vAlign w:val="top"/>
          </w:tcPr>
          <w:p w14:paraId="4AA34684">
            <w:pPr>
              <w:keepNext w:val="0"/>
              <w:keepLines w:val="0"/>
              <w:suppressLineNumbers w:val="0"/>
              <w:spacing w:before="0" w:beforeAutospacing="0" w:after="160" w:afterAutospacing="0" w:line="276" w:lineRule="auto"/>
              <w:ind w:left="0" w:right="0"/>
              <w:jc w:val="both"/>
              <w:rPr>
                <w:rFonts w:hint="default"/>
              </w:rPr>
            </w:pPr>
            <w:r>
              <w:rPr>
                <w:rFonts w:hint="default"/>
                <w:b/>
                <w:sz w:val="24"/>
              </w:rPr>
              <w:t>签约日期：</w:t>
            </w:r>
          </w:p>
        </w:tc>
        <w:tc>
          <w:tcPr>
            <w:tcW w:w="3013" w:type="dxa"/>
            <w:tcBorders>
              <w:top w:val="nil"/>
              <w:left w:val="nil"/>
              <w:bottom w:val="single" w:color="000000" w:sz="4" w:space="0"/>
              <w:right w:val="single" w:color="000000" w:sz="4" w:space="0"/>
            </w:tcBorders>
            <w:vAlign w:val="top"/>
          </w:tcPr>
          <w:p w14:paraId="27FC97D8">
            <w:pPr>
              <w:keepNext w:val="0"/>
              <w:keepLines w:val="0"/>
              <w:suppressLineNumbers w:val="0"/>
              <w:spacing w:before="0" w:beforeAutospacing="0" w:after="160" w:afterAutospacing="0" w:line="276" w:lineRule="auto"/>
              <w:ind w:left="0" w:right="0" w:firstLine="240"/>
              <w:jc w:val="both"/>
              <w:rPr>
                <w:rFonts w:hint="default"/>
              </w:rPr>
            </w:pPr>
            <w:r>
              <w:rPr>
                <w:rFonts w:hint="default"/>
                <w:sz w:val="21"/>
              </w:rPr>
              <w:t xml:space="preserve"> </w:t>
            </w:r>
            <w:r>
              <w:rPr>
                <w:rFonts w:hint="default"/>
                <w:sz w:val="24"/>
              </w:rPr>
              <w:t>年</w:t>
            </w:r>
            <w:r>
              <w:rPr>
                <w:rFonts w:hint="default"/>
                <w:sz w:val="21"/>
              </w:rPr>
              <w:t xml:space="preserve"> </w:t>
            </w:r>
            <w:r>
              <w:rPr>
                <w:rFonts w:hint="default"/>
                <w:sz w:val="24"/>
              </w:rPr>
              <w:t>月</w:t>
            </w:r>
            <w:r>
              <w:rPr>
                <w:rFonts w:hint="default"/>
                <w:sz w:val="21"/>
              </w:rPr>
              <w:t xml:space="preserve"> </w:t>
            </w:r>
            <w:r>
              <w:rPr>
                <w:rFonts w:hint="default"/>
                <w:sz w:val="24"/>
              </w:rPr>
              <w:t>日</w:t>
            </w:r>
          </w:p>
        </w:tc>
      </w:tr>
    </w:tbl>
    <w:p w14:paraId="4D9BC8E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ZjNzNiNWRhNzBmMmI3ZDZjYzg5YzVmMjc5MDBjNmYifQ=="/>
  </w:docVars>
  <w:rsids>
    <w:rsidRoot w:val="1A44658D"/>
    <w:rsid w:val="0C0375A8"/>
    <w:rsid w:val="1A44658D"/>
    <w:rsid w:val="30BE448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null3"/>
    <w:hidden/>
    <w:qFormat/>
    <w:uiPriority w:val="0"/>
    <w:rPr>
      <w:rFonts w:hint="eastAsia" w:asciiTheme="minorHAnsi" w:hAnsiTheme="minorHAnsi" w:eastAsiaTheme="minorEastAsia" w:cstheme="minorBidi"/>
      <w:lang w:val="en-US" w:eastAsia="zh-Hans"/>
    </w:rPr>
  </w:style>
  <w:style w:type="paragraph" w:customStyle="1" w:styleId="5">
    <w:name w:val="正文_0"/>
    <w:basedOn w:val="1"/>
    <w:qFormat/>
    <w:uiPriority w:val="0"/>
    <w:pPr>
      <w:keepNext w:val="0"/>
      <w:keepLines w:val="0"/>
      <w:widowControl w:val="0"/>
      <w:suppressLineNumbers w:val="0"/>
      <w:spacing w:before="0" w:beforeAutospacing="0" w:after="160" w:afterAutospacing="0" w:line="276" w:lineRule="auto"/>
      <w:ind w:left="0" w:right="0"/>
      <w:jc w:val="both"/>
    </w:pPr>
    <w:rPr>
      <w:rFonts w:hint="default" w:ascii="Times New Roman" w:hAnsi="Times New Roman" w:eastAsia="宋体" w:cs="Times New Roman"/>
      <w:kern w:val="2"/>
      <w:sz w:val="21"/>
      <w:szCs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9449</Words>
  <Characters>9586</Characters>
  <Lines>0</Lines>
  <Paragraphs>0</Paragraphs>
  <TotalTime>0</TotalTime>
  <ScaleCrop>false</ScaleCrop>
  <LinksUpToDate>false</LinksUpToDate>
  <CharactersWithSpaces>9756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2024-05-07T08:30:00Z</dcterms:created>
  <dc:creator>梁浩华</dc:creator>
  <cp:lastModifiedBy>.</cp:lastModifiedBy>
  <dcterms:modified xsi:type="dcterms:W3CDTF">2025-04-23T01:54:07Z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68A9B3EB3317428E828F91176B8B56EF_13</vt:lpwstr>
  </property>
  <property fmtid="{D5CDD505-2E9C-101B-9397-08002B2CF9AE}" pid="4" name="KSOTemplateDocerSaveRecord">
    <vt:lpwstr>eyJoZGlkIjoiNmE3Mzk3Y2M2YzIxODI4MWRlZmUwMDgyYjRiMjgzOGIiLCJ1c2VySWQiOiI5NDUxNzkxMDAifQ==</vt:lpwstr>
  </property>
</Properties>
</file>